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C35611" w14:textId="4C05F5E3" w:rsidR="002A5C75" w:rsidRPr="002A5C75" w:rsidRDefault="00300D65" w:rsidP="002A5C75">
      <w:r>
        <w:t xml:space="preserve"> </w:t>
      </w:r>
      <w:r w:rsidR="008D6BBF" w:rsidRPr="00F54C45">
        <w:rPr>
          <w:noProof/>
        </w:rPr>
        <w:lastRenderedPageBreak/>
        <w:drawing>
          <wp:inline distT="0" distB="0" distL="0" distR="0" wp14:anchorId="0DB1AD93" wp14:editId="5D785481">
            <wp:extent cx="6671351" cy="943356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73692" cy="9436870"/>
                    </a:xfrm>
                    <a:prstGeom prst="rect">
                      <a:avLst/>
                    </a:prstGeom>
                  </pic:spPr>
                </pic:pic>
              </a:graphicData>
            </a:graphic>
          </wp:inline>
        </w:drawing>
      </w:r>
    </w:p>
    <w:p w14:paraId="6C286AED" w14:textId="7C23299D" w:rsidR="00150CE5" w:rsidRPr="00F54C45" w:rsidRDefault="002A5C75" w:rsidP="00E7524A">
      <w:pPr>
        <w:pStyle w:val="CabealhodoSumrio"/>
      </w:pPr>
      <w:r>
        <w:lastRenderedPageBreak/>
        <w:t>Proposal</w:t>
      </w:r>
    </w:p>
    <w:p w14:paraId="4581550D" w14:textId="31B7EE14" w:rsidR="002A5C75" w:rsidRDefault="002A5C75" w:rsidP="002A5C75">
      <w:pPr>
        <w:spacing w:after="0"/>
        <w:jc w:val="right"/>
        <w:rPr>
          <w:b/>
          <w:bCs/>
          <w:sz w:val="40"/>
          <w:szCs w:val="40"/>
        </w:rPr>
      </w:pPr>
      <w:r>
        <w:rPr>
          <w:b/>
          <w:bCs/>
          <w:sz w:val="40"/>
          <w:szCs w:val="40"/>
        </w:rPr>
        <w:t xml:space="preserve">Action Plan </w:t>
      </w:r>
      <w:r>
        <w:rPr>
          <w:b/>
          <w:bCs/>
          <w:sz w:val="40"/>
          <w:szCs w:val="40"/>
        </w:rPr>
        <w:t xml:space="preserve">for </w:t>
      </w:r>
      <w:r w:rsidRPr="002A5C75">
        <w:rPr>
          <w:b/>
          <w:bCs/>
          <w:sz w:val="40"/>
          <w:szCs w:val="40"/>
        </w:rPr>
        <w:t xml:space="preserve">Gender </w:t>
      </w:r>
    </w:p>
    <w:p w14:paraId="09777391" w14:textId="7ED4D1CB" w:rsidR="002A5C75" w:rsidRPr="002A5C75" w:rsidRDefault="002A5C75" w:rsidP="002A5C75">
      <w:pPr>
        <w:spacing w:after="0"/>
        <w:jc w:val="right"/>
        <w:rPr>
          <w:b/>
          <w:bCs/>
          <w:sz w:val="40"/>
          <w:szCs w:val="40"/>
        </w:rPr>
      </w:pPr>
      <w:r w:rsidRPr="002A5C75">
        <w:rPr>
          <w:b/>
          <w:bCs/>
          <w:sz w:val="40"/>
          <w:szCs w:val="40"/>
        </w:rPr>
        <w:t xml:space="preserve">Equality, Inclusion </w:t>
      </w:r>
    </w:p>
    <w:p w14:paraId="46993826" w14:textId="2868DDA8" w:rsidR="002A5C75" w:rsidRPr="002A5C75" w:rsidRDefault="002A5C75" w:rsidP="002A5C75">
      <w:pPr>
        <w:spacing w:after="0"/>
        <w:jc w:val="right"/>
        <w:rPr>
          <w:b/>
          <w:bCs/>
          <w:sz w:val="40"/>
          <w:szCs w:val="40"/>
        </w:rPr>
      </w:pPr>
      <w:r w:rsidRPr="002A5C75">
        <w:rPr>
          <w:b/>
          <w:bCs/>
          <w:sz w:val="40"/>
          <w:szCs w:val="40"/>
        </w:rPr>
        <w:t xml:space="preserve">and Diversity of the </w:t>
      </w:r>
    </w:p>
    <w:p w14:paraId="7F0BE5AA" w14:textId="77777777" w:rsidR="002A5C75" w:rsidRPr="002A5C75" w:rsidRDefault="002A5C75" w:rsidP="002A5C75">
      <w:pPr>
        <w:spacing w:after="0"/>
        <w:jc w:val="right"/>
        <w:rPr>
          <w:b/>
          <w:bCs/>
          <w:sz w:val="40"/>
          <w:szCs w:val="40"/>
          <w:lang w:val="pt-PT"/>
        </w:rPr>
      </w:pPr>
      <w:r w:rsidRPr="002A5C75">
        <w:rPr>
          <w:b/>
          <w:bCs/>
          <w:sz w:val="40"/>
          <w:szCs w:val="40"/>
          <w:lang w:val="pt-PT"/>
        </w:rPr>
        <w:t xml:space="preserve">Instituto Politécnico de Tomar </w:t>
      </w:r>
    </w:p>
    <w:p w14:paraId="06769F20" w14:textId="77777777" w:rsidR="002A5C75" w:rsidRPr="002A5C75" w:rsidRDefault="002A5C75" w:rsidP="002A5C75">
      <w:pPr>
        <w:spacing w:after="0"/>
        <w:jc w:val="right"/>
        <w:rPr>
          <w:b/>
          <w:bCs/>
          <w:sz w:val="28"/>
          <w:szCs w:val="28"/>
          <w:lang w:val="pt-PT"/>
        </w:rPr>
      </w:pPr>
      <w:r w:rsidRPr="002A5C75">
        <w:rPr>
          <w:b/>
          <w:bCs/>
          <w:sz w:val="28"/>
          <w:szCs w:val="28"/>
          <w:lang w:val="pt-PT"/>
        </w:rPr>
        <w:t>2022/24</w:t>
      </w:r>
    </w:p>
    <w:p w14:paraId="592D1A15" w14:textId="77777777" w:rsidR="00150CE5" w:rsidRPr="002A5C75" w:rsidRDefault="00150CE5" w:rsidP="006C1EF2">
      <w:pPr>
        <w:rPr>
          <w:lang w:val="pt-PT"/>
        </w:rPr>
      </w:pPr>
    </w:p>
    <w:p w14:paraId="3CCBAA14" w14:textId="71B322EA" w:rsidR="00150CE5" w:rsidRPr="002A5C75" w:rsidRDefault="002A5C75" w:rsidP="002A5C75">
      <w:pPr>
        <w:jc w:val="right"/>
        <w:rPr>
          <w:rFonts w:asciiTheme="majorHAnsi" w:hAnsiTheme="majorHAnsi"/>
          <w:sz w:val="36"/>
          <w:szCs w:val="36"/>
          <w:lang w:val="pt-PT"/>
        </w:rPr>
      </w:pPr>
      <w:r w:rsidRPr="002A5C75">
        <w:rPr>
          <w:rFonts w:asciiTheme="majorHAnsi" w:hAnsiTheme="majorHAnsi"/>
          <w:sz w:val="36"/>
          <w:szCs w:val="36"/>
          <w:lang w:val="pt-PT"/>
        </w:rPr>
        <w:t>Title</w:t>
      </w:r>
    </w:p>
    <w:p w14:paraId="37F7920B" w14:textId="68194D8E" w:rsidR="00150CE5" w:rsidRPr="00F54C45" w:rsidRDefault="003F029A" w:rsidP="00E7524A">
      <w:pPr>
        <w:pStyle w:val="CabealhodoSumrio"/>
      </w:pPr>
      <w:r w:rsidRPr="00F54C45">
        <w:lastRenderedPageBreak/>
        <w:t>Team</w:t>
      </w:r>
    </w:p>
    <w:p w14:paraId="3BE9C95C" w14:textId="1ADDC318" w:rsidR="003F029A" w:rsidRPr="00F54C45" w:rsidRDefault="003F029A" w:rsidP="00EA7B96">
      <w:pPr>
        <w:spacing w:after="0"/>
      </w:pPr>
      <w:r w:rsidRPr="00F54C45">
        <w:t xml:space="preserve">IPT Action Plan for Gender Equality, Inclusion and Diversity </w:t>
      </w:r>
    </w:p>
    <w:p w14:paraId="6390220B" w14:textId="20A2DDDA" w:rsidR="003F029A" w:rsidRPr="00F54C45" w:rsidRDefault="003F029A" w:rsidP="006C1EF2">
      <w:pPr>
        <w:rPr>
          <w:lang w:val="pt-PT"/>
        </w:rPr>
      </w:pPr>
      <w:r w:rsidRPr="00F54C45">
        <w:rPr>
          <w:lang w:val="pt-PT"/>
        </w:rPr>
        <w:t>2021</w:t>
      </w:r>
    </w:p>
    <w:p w14:paraId="572DA9BD" w14:textId="23659448" w:rsidR="00150CE5" w:rsidRPr="00F54C45" w:rsidRDefault="00150CE5" w:rsidP="006C1EF2">
      <w:pPr>
        <w:rPr>
          <w:lang w:val="pt-PT"/>
        </w:rPr>
      </w:pPr>
    </w:p>
    <w:p w14:paraId="0AF64F6C" w14:textId="77777777" w:rsidR="003F029A" w:rsidRPr="00F54C45" w:rsidRDefault="003F029A" w:rsidP="006C1EF2">
      <w:pPr>
        <w:rPr>
          <w:lang w:val="pt-PT"/>
        </w:rPr>
      </w:pPr>
    </w:p>
    <w:p w14:paraId="61E7D2D2" w14:textId="77777777" w:rsidR="00F1749A" w:rsidRPr="00F54C45" w:rsidRDefault="00F1749A" w:rsidP="00EA7B96">
      <w:pPr>
        <w:spacing w:after="0"/>
        <w:rPr>
          <w:lang w:val="pt-PT"/>
        </w:rPr>
      </w:pPr>
      <w:r w:rsidRPr="00F54C45">
        <w:rPr>
          <w:lang w:val="pt-PT"/>
        </w:rPr>
        <w:t>Ana Cristina Becerra Nata dos Santos</w:t>
      </w:r>
    </w:p>
    <w:p w14:paraId="158FBCF3" w14:textId="77777777" w:rsidR="00F1749A" w:rsidRPr="00F54C45" w:rsidRDefault="00F1749A" w:rsidP="00EA7B96">
      <w:pPr>
        <w:spacing w:after="0"/>
        <w:rPr>
          <w:lang w:val="pt-PT"/>
        </w:rPr>
      </w:pPr>
      <w:r w:rsidRPr="00F54C45">
        <w:rPr>
          <w:lang w:val="pt-PT"/>
        </w:rPr>
        <w:t>José Casimiro Nunes Pereira</w:t>
      </w:r>
    </w:p>
    <w:p w14:paraId="46507704" w14:textId="77777777" w:rsidR="00F1749A" w:rsidRPr="00F54C45" w:rsidRDefault="00F1749A" w:rsidP="00EA7B96">
      <w:pPr>
        <w:spacing w:after="0"/>
        <w:rPr>
          <w:lang w:val="pt-PT"/>
        </w:rPr>
      </w:pPr>
      <w:r w:rsidRPr="00F54C45">
        <w:rPr>
          <w:lang w:val="pt-PT"/>
        </w:rPr>
        <w:t>Natércia Maria Ferreira dos Santos</w:t>
      </w:r>
    </w:p>
    <w:p w14:paraId="17F2ABE6" w14:textId="77777777" w:rsidR="00F1749A" w:rsidRPr="00F54C45" w:rsidRDefault="00F1749A" w:rsidP="00EA7B96">
      <w:pPr>
        <w:spacing w:after="0"/>
        <w:rPr>
          <w:lang w:val="pt-PT"/>
        </w:rPr>
      </w:pPr>
      <w:r w:rsidRPr="00F54C45">
        <w:rPr>
          <w:lang w:val="pt-PT"/>
        </w:rPr>
        <w:t>Paula Alexandra da Cruz Silva Pina de Almeida</w:t>
      </w:r>
    </w:p>
    <w:p w14:paraId="53B9490E" w14:textId="77777777" w:rsidR="00F1749A" w:rsidRPr="00F54C45" w:rsidRDefault="00F1749A" w:rsidP="00EA7B96">
      <w:pPr>
        <w:spacing w:after="0"/>
        <w:rPr>
          <w:lang w:val="pt-PT"/>
        </w:rPr>
      </w:pPr>
      <w:r w:rsidRPr="00F54C45">
        <w:rPr>
          <w:lang w:val="pt-PT"/>
        </w:rPr>
        <w:t>Rita Ribeiro de Carvalho Ferreira Anastácio</w:t>
      </w:r>
    </w:p>
    <w:p w14:paraId="06348843" w14:textId="77777777" w:rsidR="00F1749A" w:rsidRPr="00F54C45" w:rsidRDefault="00F1749A" w:rsidP="00EA7B96">
      <w:pPr>
        <w:spacing w:after="0"/>
        <w:rPr>
          <w:lang w:val="pt-PT"/>
        </w:rPr>
      </w:pPr>
      <w:r w:rsidRPr="00F54C45">
        <w:rPr>
          <w:lang w:val="pt-PT"/>
        </w:rPr>
        <w:t>Rosa Maria Ramos Nico</w:t>
      </w:r>
    </w:p>
    <w:p w14:paraId="285C3494" w14:textId="77777777" w:rsidR="00F1749A" w:rsidRPr="00F54C45" w:rsidRDefault="00F1749A" w:rsidP="00EA7B96">
      <w:pPr>
        <w:spacing w:after="0"/>
        <w:rPr>
          <w:lang w:val="pt-PT"/>
        </w:rPr>
      </w:pPr>
      <w:r w:rsidRPr="00F54C45">
        <w:rPr>
          <w:lang w:val="pt-PT"/>
        </w:rPr>
        <w:t>Sílvia Paula Rosa da Silva</w:t>
      </w:r>
    </w:p>
    <w:p w14:paraId="00F5742B" w14:textId="09A7F10D" w:rsidR="00033510" w:rsidRPr="00F54C45" w:rsidRDefault="00033510" w:rsidP="006C1EF2">
      <w:pPr>
        <w:rPr>
          <w:lang w:val="pt-PT"/>
        </w:rPr>
      </w:pPr>
    </w:p>
    <w:p w14:paraId="765CE287" w14:textId="76B8B176" w:rsidR="00EA7B96" w:rsidRPr="00F54C45" w:rsidRDefault="00EA7B96">
      <w:pPr>
        <w:spacing w:after="160" w:line="259" w:lineRule="auto"/>
        <w:jc w:val="left"/>
        <w:rPr>
          <w:lang w:val="pt-PT"/>
        </w:rPr>
      </w:pPr>
      <w:r w:rsidRPr="00F54C45">
        <w:rPr>
          <w:noProof/>
        </w:rPr>
        <w:drawing>
          <wp:anchor distT="0" distB="0" distL="114300" distR="114300" simplePos="0" relativeHeight="251658240" behindDoc="0" locked="0" layoutInCell="1" allowOverlap="1" wp14:anchorId="6F60B2FC" wp14:editId="02892AD0">
            <wp:simplePos x="0" y="0"/>
            <wp:positionH relativeFrom="margin">
              <wp:posOffset>3018790</wp:posOffset>
            </wp:positionH>
            <wp:positionV relativeFrom="paragraph">
              <wp:posOffset>3125247</wp:posOffset>
            </wp:positionV>
            <wp:extent cx="2377440" cy="758187"/>
            <wp:effectExtent l="0" t="0" r="3810" b="4445"/>
            <wp:wrapNone/>
            <wp:docPr id="4" name="Imagem 4" descr="Uma imagem com texto, ClipArt&#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Uma imagem com texto, ClipArt&#10;&#10;Descrição gerada automa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77440" cy="758187"/>
                    </a:xfrm>
                    <a:prstGeom prst="rect">
                      <a:avLst/>
                    </a:prstGeom>
                  </pic:spPr>
                </pic:pic>
              </a:graphicData>
            </a:graphic>
            <wp14:sizeRelH relativeFrom="page">
              <wp14:pctWidth>0</wp14:pctWidth>
            </wp14:sizeRelH>
            <wp14:sizeRelV relativeFrom="page">
              <wp14:pctHeight>0</wp14:pctHeight>
            </wp14:sizeRelV>
          </wp:anchor>
        </w:drawing>
      </w:r>
      <w:r w:rsidRPr="00F54C45">
        <w:rPr>
          <w:lang w:val="pt-PT"/>
        </w:rPr>
        <w:br w:type="page"/>
      </w:r>
    </w:p>
    <w:p w14:paraId="267CE7FE" w14:textId="20DCB2F3" w:rsidR="00027396" w:rsidRPr="00F54C45" w:rsidRDefault="00027396">
      <w:pPr>
        <w:spacing w:after="160" w:line="259" w:lineRule="auto"/>
        <w:jc w:val="left"/>
        <w:rPr>
          <w:lang w:val="pt-PT"/>
        </w:rPr>
      </w:pPr>
    </w:p>
    <w:p w14:paraId="4DC9C62E" w14:textId="50C4AB80" w:rsidR="00027396" w:rsidRPr="00F54C45" w:rsidRDefault="00027396">
      <w:pPr>
        <w:spacing w:after="160" w:line="259" w:lineRule="auto"/>
        <w:jc w:val="left"/>
        <w:rPr>
          <w:lang w:val="pt-PT"/>
        </w:rPr>
      </w:pPr>
    </w:p>
    <w:p w14:paraId="23F430B5" w14:textId="316596DA" w:rsidR="00027396" w:rsidRPr="00F54C45" w:rsidRDefault="00027396" w:rsidP="00027396">
      <w:pPr>
        <w:pStyle w:val="CabealhodoSumrio"/>
      </w:pPr>
      <w:r w:rsidRPr="00F54C45">
        <w:lastRenderedPageBreak/>
        <w:t>Table of Contents</w:t>
      </w:r>
    </w:p>
    <w:sdt>
      <w:sdtPr>
        <w:id w:val="1591735833"/>
        <w:docPartObj>
          <w:docPartGallery w:val="Table of Contents"/>
          <w:docPartUnique/>
        </w:docPartObj>
      </w:sdtPr>
      <w:sdtContent>
        <w:p w14:paraId="12FEEEE3" w14:textId="65A621A5" w:rsidR="00027396" w:rsidRPr="00F54C45" w:rsidRDefault="00027396" w:rsidP="00027396">
          <w:pPr>
            <w:pStyle w:val="Sumrio1"/>
            <w:tabs>
              <w:tab w:val="right" w:leader="dot" w:pos="8494"/>
            </w:tabs>
          </w:pPr>
          <w:r w:rsidRPr="00F54C45">
            <w:fldChar w:fldCharType="begin"/>
          </w:r>
          <w:r w:rsidRPr="00F54C45">
            <w:instrText xml:space="preserve"> TOC \o "1-3" \h \z \u </w:instrText>
          </w:r>
          <w:r w:rsidRPr="00F54C45">
            <w:fldChar w:fldCharType="separate"/>
          </w:r>
          <w:hyperlink w:anchor="_Toc94537404" w:history="1">
            <w:r w:rsidRPr="00F54C45">
              <w:rPr>
                <w:rStyle w:val="Hyperlink"/>
                <w:noProof/>
              </w:rPr>
              <w:t>Message from the President</w:t>
            </w:r>
            <w:r w:rsidRPr="00F54C45">
              <w:rPr>
                <w:noProof/>
                <w:webHidden/>
              </w:rPr>
              <w:tab/>
            </w:r>
            <w:r w:rsidRPr="00F54C45">
              <w:rPr>
                <w:noProof/>
                <w:webHidden/>
              </w:rPr>
              <w:fldChar w:fldCharType="begin"/>
            </w:r>
            <w:r w:rsidRPr="00F54C45">
              <w:rPr>
                <w:noProof/>
                <w:webHidden/>
              </w:rPr>
              <w:instrText xml:space="preserve"> PAGEREF _Toc94537404 \h </w:instrText>
            </w:r>
            <w:r w:rsidRPr="00F54C45">
              <w:rPr>
                <w:noProof/>
                <w:webHidden/>
              </w:rPr>
            </w:r>
            <w:r w:rsidRPr="00F54C45">
              <w:rPr>
                <w:noProof/>
                <w:webHidden/>
              </w:rPr>
              <w:fldChar w:fldCharType="separate"/>
            </w:r>
            <w:r w:rsidRPr="00F54C45">
              <w:rPr>
                <w:noProof/>
                <w:webHidden/>
              </w:rPr>
              <w:t>5</w:t>
            </w:r>
            <w:r w:rsidRPr="00F54C45">
              <w:rPr>
                <w:noProof/>
                <w:webHidden/>
              </w:rPr>
              <w:fldChar w:fldCharType="end"/>
            </w:r>
          </w:hyperlink>
        </w:p>
        <w:p w14:paraId="591F435E" w14:textId="77777777" w:rsidR="00027396" w:rsidRPr="00F54C45" w:rsidRDefault="001D393A" w:rsidP="00027396">
          <w:pPr>
            <w:pStyle w:val="Sumrio1"/>
            <w:tabs>
              <w:tab w:val="right" w:leader="dot" w:pos="8494"/>
            </w:tabs>
            <w:rPr>
              <w:rFonts w:eastAsiaTheme="minorEastAsia" w:cstheme="minorBidi"/>
              <w:noProof/>
              <w:sz w:val="22"/>
              <w:szCs w:val="22"/>
              <w:lang w:eastAsia="pt-PT"/>
            </w:rPr>
          </w:pPr>
          <w:hyperlink w:anchor="_Toc94537405" w:history="1">
            <w:r w:rsidR="00027396" w:rsidRPr="00F54C45">
              <w:rPr>
                <w:rStyle w:val="Hyperlink"/>
                <w:noProof/>
              </w:rPr>
              <w:t>Introduction</w:t>
            </w:r>
            <w:r w:rsidR="00027396" w:rsidRPr="00F54C45">
              <w:rPr>
                <w:noProof/>
                <w:webHidden/>
              </w:rPr>
              <w:tab/>
            </w:r>
            <w:r w:rsidR="00027396" w:rsidRPr="00F54C45">
              <w:rPr>
                <w:noProof/>
                <w:webHidden/>
              </w:rPr>
              <w:fldChar w:fldCharType="begin"/>
            </w:r>
            <w:r w:rsidR="00027396" w:rsidRPr="00F54C45">
              <w:rPr>
                <w:noProof/>
                <w:webHidden/>
              </w:rPr>
              <w:instrText xml:space="preserve"> PAGEREF _Toc94537405 \h </w:instrText>
            </w:r>
            <w:r w:rsidR="00027396" w:rsidRPr="00F54C45">
              <w:rPr>
                <w:noProof/>
                <w:webHidden/>
              </w:rPr>
            </w:r>
            <w:r w:rsidR="00027396" w:rsidRPr="00F54C45">
              <w:rPr>
                <w:noProof/>
                <w:webHidden/>
              </w:rPr>
              <w:fldChar w:fldCharType="separate"/>
            </w:r>
            <w:r w:rsidR="00027396" w:rsidRPr="00F54C45">
              <w:rPr>
                <w:noProof/>
                <w:webHidden/>
              </w:rPr>
              <w:t>6</w:t>
            </w:r>
            <w:r w:rsidR="00027396" w:rsidRPr="00F54C45">
              <w:rPr>
                <w:noProof/>
                <w:webHidden/>
              </w:rPr>
              <w:fldChar w:fldCharType="end"/>
            </w:r>
          </w:hyperlink>
        </w:p>
        <w:p w14:paraId="1F68633D" w14:textId="30F93C01" w:rsidR="00027396" w:rsidRPr="00F54C45" w:rsidRDefault="001D393A" w:rsidP="00027396">
          <w:pPr>
            <w:pStyle w:val="Sumrio1"/>
            <w:tabs>
              <w:tab w:val="right" w:leader="dot" w:pos="8494"/>
            </w:tabs>
            <w:rPr>
              <w:rFonts w:eastAsiaTheme="minorEastAsia" w:cstheme="minorBidi"/>
              <w:noProof/>
              <w:sz w:val="22"/>
              <w:szCs w:val="22"/>
              <w:lang w:eastAsia="pt-PT"/>
            </w:rPr>
          </w:pPr>
          <w:hyperlink w:anchor="_Toc94537406" w:history="1">
            <w:r w:rsidR="00027396" w:rsidRPr="00F54C45">
              <w:rPr>
                <w:rStyle w:val="Hyperlink"/>
                <w:noProof/>
              </w:rPr>
              <w:t>Background</w:t>
            </w:r>
            <w:r w:rsidR="00027396" w:rsidRPr="00F54C45">
              <w:rPr>
                <w:noProof/>
                <w:webHidden/>
              </w:rPr>
              <w:tab/>
            </w:r>
            <w:r w:rsidR="00027396" w:rsidRPr="00F54C45">
              <w:rPr>
                <w:noProof/>
                <w:webHidden/>
              </w:rPr>
              <w:fldChar w:fldCharType="begin"/>
            </w:r>
            <w:r w:rsidR="00027396" w:rsidRPr="00F54C45">
              <w:rPr>
                <w:noProof/>
                <w:webHidden/>
              </w:rPr>
              <w:instrText xml:space="preserve"> PAGEREF _Toc94537406 \h </w:instrText>
            </w:r>
            <w:r w:rsidR="00027396" w:rsidRPr="00F54C45">
              <w:rPr>
                <w:noProof/>
                <w:webHidden/>
              </w:rPr>
            </w:r>
            <w:r w:rsidR="00027396" w:rsidRPr="00F54C45">
              <w:rPr>
                <w:noProof/>
                <w:webHidden/>
              </w:rPr>
              <w:fldChar w:fldCharType="separate"/>
            </w:r>
            <w:r w:rsidR="00027396" w:rsidRPr="00F54C45">
              <w:rPr>
                <w:noProof/>
                <w:webHidden/>
              </w:rPr>
              <w:t>8</w:t>
            </w:r>
            <w:r w:rsidR="00027396" w:rsidRPr="00F54C45">
              <w:rPr>
                <w:noProof/>
                <w:webHidden/>
              </w:rPr>
              <w:fldChar w:fldCharType="end"/>
            </w:r>
          </w:hyperlink>
        </w:p>
        <w:p w14:paraId="02B3D8D5" w14:textId="77777777" w:rsidR="00027396" w:rsidRPr="00F54C45" w:rsidRDefault="001D393A" w:rsidP="00027396">
          <w:pPr>
            <w:pStyle w:val="Sumrio1"/>
            <w:tabs>
              <w:tab w:val="right" w:leader="dot" w:pos="8494"/>
            </w:tabs>
            <w:rPr>
              <w:rFonts w:eastAsiaTheme="minorEastAsia" w:cstheme="minorBidi"/>
              <w:noProof/>
              <w:sz w:val="22"/>
              <w:szCs w:val="22"/>
              <w:lang w:eastAsia="pt-PT"/>
            </w:rPr>
          </w:pPr>
          <w:hyperlink w:anchor="_Toc94537407" w:history="1">
            <w:r w:rsidR="00027396" w:rsidRPr="00F54C45">
              <w:rPr>
                <w:rStyle w:val="Hyperlink"/>
                <w:noProof/>
              </w:rPr>
              <w:t>Methodology</w:t>
            </w:r>
            <w:r w:rsidR="00027396" w:rsidRPr="00F54C45">
              <w:rPr>
                <w:noProof/>
                <w:webHidden/>
              </w:rPr>
              <w:tab/>
            </w:r>
            <w:r w:rsidR="00027396" w:rsidRPr="00F54C45">
              <w:rPr>
                <w:noProof/>
                <w:webHidden/>
              </w:rPr>
              <w:fldChar w:fldCharType="begin"/>
            </w:r>
            <w:r w:rsidR="00027396" w:rsidRPr="00F54C45">
              <w:rPr>
                <w:noProof/>
                <w:webHidden/>
              </w:rPr>
              <w:instrText xml:space="preserve"> PAGEREF _Toc94537407 \h </w:instrText>
            </w:r>
            <w:r w:rsidR="00027396" w:rsidRPr="00F54C45">
              <w:rPr>
                <w:noProof/>
                <w:webHidden/>
              </w:rPr>
            </w:r>
            <w:r w:rsidR="00027396" w:rsidRPr="00F54C45">
              <w:rPr>
                <w:noProof/>
                <w:webHidden/>
              </w:rPr>
              <w:fldChar w:fldCharType="separate"/>
            </w:r>
            <w:r w:rsidR="00027396" w:rsidRPr="00F54C45">
              <w:rPr>
                <w:noProof/>
                <w:webHidden/>
              </w:rPr>
              <w:t>13</w:t>
            </w:r>
            <w:r w:rsidR="00027396" w:rsidRPr="00F54C45">
              <w:rPr>
                <w:noProof/>
                <w:webHidden/>
              </w:rPr>
              <w:fldChar w:fldCharType="end"/>
            </w:r>
          </w:hyperlink>
        </w:p>
        <w:p w14:paraId="4892034C" w14:textId="3A699A8C" w:rsidR="00027396" w:rsidRPr="00F54C45" w:rsidRDefault="001D393A" w:rsidP="00027396">
          <w:pPr>
            <w:pStyle w:val="Sumrio1"/>
            <w:tabs>
              <w:tab w:val="right" w:leader="dot" w:pos="8494"/>
            </w:tabs>
            <w:rPr>
              <w:rFonts w:eastAsiaTheme="minorEastAsia" w:cstheme="minorBidi"/>
              <w:noProof/>
              <w:sz w:val="22"/>
              <w:szCs w:val="22"/>
              <w:lang w:eastAsia="pt-PT"/>
            </w:rPr>
          </w:pPr>
          <w:hyperlink w:anchor="_Toc94537408" w:history="1">
            <w:r w:rsidR="00027396" w:rsidRPr="00F54C45">
              <w:rPr>
                <w:rStyle w:val="Hyperlink"/>
                <w:noProof/>
              </w:rPr>
              <w:t>Internal survey: analysis and diagnos</w:t>
            </w:r>
            <w:r w:rsidR="008319E3" w:rsidRPr="00F54C45">
              <w:rPr>
                <w:rStyle w:val="Hyperlink"/>
                <w:noProof/>
              </w:rPr>
              <w:t>tic</w:t>
            </w:r>
            <w:r w:rsidR="00027396" w:rsidRPr="00F54C45">
              <w:rPr>
                <w:rStyle w:val="Hyperlink"/>
                <w:noProof/>
              </w:rPr>
              <w:t xml:space="preserve">   </w:t>
            </w:r>
            <w:r w:rsidR="00027396" w:rsidRPr="00F54C45">
              <w:rPr>
                <w:noProof/>
                <w:webHidden/>
              </w:rPr>
              <w:tab/>
            </w:r>
            <w:r w:rsidR="00027396" w:rsidRPr="00F54C45">
              <w:rPr>
                <w:noProof/>
                <w:webHidden/>
              </w:rPr>
              <w:fldChar w:fldCharType="begin"/>
            </w:r>
            <w:r w:rsidR="00027396" w:rsidRPr="00F54C45">
              <w:rPr>
                <w:noProof/>
                <w:webHidden/>
              </w:rPr>
              <w:instrText xml:space="preserve"> PAGEREF _Toc94537408 \h </w:instrText>
            </w:r>
            <w:r w:rsidR="00027396" w:rsidRPr="00F54C45">
              <w:rPr>
                <w:noProof/>
                <w:webHidden/>
              </w:rPr>
            </w:r>
            <w:r w:rsidR="00027396" w:rsidRPr="00F54C45">
              <w:rPr>
                <w:noProof/>
                <w:webHidden/>
              </w:rPr>
              <w:fldChar w:fldCharType="separate"/>
            </w:r>
            <w:r w:rsidR="00027396" w:rsidRPr="00F54C45">
              <w:rPr>
                <w:noProof/>
                <w:webHidden/>
              </w:rPr>
              <w:t>15</w:t>
            </w:r>
            <w:r w:rsidR="00027396" w:rsidRPr="00F54C45">
              <w:rPr>
                <w:noProof/>
                <w:webHidden/>
              </w:rPr>
              <w:fldChar w:fldCharType="end"/>
            </w:r>
          </w:hyperlink>
        </w:p>
        <w:p w14:paraId="249562FD" w14:textId="45FC87D7" w:rsidR="00027396" w:rsidRPr="00F54C45" w:rsidRDefault="001D393A" w:rsidP="00027396">
          <w:pPr>
            <w:pStyle w:val="Sumrio2"/>
            <w:tabs>
              <w:tab w:val="right" w:leader="dot" w:pos="8494"/>
            </w:tabs>
            <w:rPr>
              <w:rFonts w:eastAsiaTheme="minorEastAsia" w:cstheme="minorBidi"/>
              <w:noProof/>
              <w:sz w:val="22"/>
              <w:szCs w:val="22"/>
              <w:lang w:eastAsia="pt-PT"/>
            </w:rPr>
          </w:pPr>
          <w:hyperlink w:anchor="_Toc94537409" w:history="1">
            <w:r w:rsidR="00027396" w:rsidRPr="00F54C45">
              <w:rPr>
                <w:rStyle w:val="Hyperlink"/>
                <w:noProof/>
              </w:rPr>
              <w:t xml:space="preserve">Policies and practices related to gender equality </w:t>
            </w:r>
            <w:r w:rsidR="00027396" w:rsidRPr="00F54C45">
              <w:rPr>
                <w:noProof/>
                <w:webHidden/>
              </w:rPr>
              <w:tab/>
            </w:r>
            <w:r w:rsidR="00027396" w:rsidRPr="00F54C45">
              <w:rPr>
                <w:noProof/>
                <w:webHidden/>
              </w:rPr>
              <w:fldChar w:fldCharType="begin"/>
            </w:r>
            <w:r w:rsidR="00027396" w:rsidRPr="00F54C45">
              <w:rPr>
                <w:noProof/>
                <w:webHidden/>
              </w:rPr>
              <w:instrText xml:space="preserve"> PAGEREF _Toc94537409 \h </w:instrText>
            </w:r>
            <w:r w:rsidR="00027396" w:rsidRPr="00F54C45">
              <w:rPr>
                <w:noProof/>
                <w:webHidden/>
              </w:rPr>
            </w:r>
            <w:r w:rsidR="00027396" w:rsidRPr="00F54C45">
              <w:rPr>
                <w:noProof/>
                <w:webHidden/>
              </w:rPr>
              <w:fldChar w:fldCharType="separate"/>
            </w:r>
            <w:r w:rsidR="00027396" w:rsidRPr="00F54C45">
              <w:rPr>
                <w:noProof/>
                <w:webHidden/>
              </w:rPr>
              <w:t>15</w:t>
            </w:r>
            <w:r w:rsidR="00027396" w:rsidRPr="00F54C45">
              <w:rPr>
                <w:noProof/>
                <w:webHidden/>
              </w:rPr>
              <w:fldChar w:fldCharType="end"/>
            </w:r>
          </w:hyperlink>
        </w:p>
        <w:p w14:paraId="12034F5E" w14:textId="77777777" w:rsidR="00027396" w:rsidRPr="00F54C45" w:rsidRDefault="001D393A" w:rsidP="00027396">
          <w:pPr>
            <w:pStyle w:val="Sumrio2"/>
            <w:tabs>
              <w:tab w:val="right" w:leader="dot" w:pos="8494"/>
            </w:tabs>
            <w:rPr>
              <w:rFonts w:eastAsiaTheme="minorEastAsia" w:cstheme="minorBidi"/>
              <w:noProof/>
              <w:sz w:val="22"/>
              <w:szCs w:val="22"/>
              <w:lang w:eastAsia="pt-PT"/>
            </w:rPr>
          </w:pPr>
          <w:hyperlink w:anchor="_Toc94537410" w:history="1">
            <w:r w:rsidR="00027396" w:rsidRPr="00F54C45">
              <w:t>Governing bodies</w:t>
            </w:r>
            <w:r w:rsidR="00027396" w:rsidRPr="00F54C45">
              <w:rPr>
                <w:noProof/>
                <w:webHidden/>
              </w:rPr>
              <w:tab/>
            </w:r>
            <w:r w:rsidR="00027396" w:rsidRPr="00F54C45">
              <w:rPr>
                <w:noProof/>
                <w:webHidden/>
              </w:rPr>
              <w:fldChar w:fldCharType="begin"/>
            </w:r>
            <w:r w:rsidR="00027396" w:rsidRPr="00F54C45">
              <w:rPr>
                <w:noProof/>
                <w:webHidden/>
              </w:rPr>
              <w:instrText xml:space="preserve"> PAGEREF _Toc94537410 \h </w:instrText>
            </w:r>
            <w:r w:rsidR="00027396" w:rsidRPr="00F54C45">
              <w:rPr>
                <w:noProof/>
                <w:webHidden/>
              </w:rPr>
            </w:r>
            <w:r w:rsidR="00027396" w:rsidRPr="00F54C45">
              <w:rPr>
                <w:noProof/>
                <w:webHidden/>
              </w:rPr>
              <w:fldChar w:fldCharType="separate"/>
            </w:r>
            <w:r w:rsidR="00027396" w:rsidRPr="00F54C45">
              <w:rPr>
                <w:noProof/>
                <w:webHidden/>
              </w:rPr>
              <w:t>15</w:t>
            </w:r>
            <w:r w:rsidR="00027396" w:rsidRPr="00F54C45">
              <w:rPr>
                <w:noProof/>
                <w:webHidden/>
              </w:rPr>
              <w:fldChar w:fldCharType="end"/>
            </w:r>
          </w:hyperlink>
        </w:p>
        <w:p w14:paraId="24087941" w14:textId="4FF81826" w:rsidR="00027396" w:rsidRPr="00F54C45" w:rsidRDefault="001D393A" w:rsidP="00027396">
          <w:pPr>
            <w:pStyle w:val="Sumrio2"/>
            <w:tabs>
              <w:tab w:val="right" w:leader="dot" w:pos="8494"/>
            </w:tabs>
            <w:rPr>
              <w:rFonts w:eastAsiaTheme="minorEastAsia" w:cstheme="minorBidi"/>
              <w:noProof/>
              <w:sz w:val="22"/>
              <w:szCs w:val="22"/>
              <w:lang w:eastAsia="pt-PT"/>
            </w:rPr>
          </w:pPr>
          <w:hyperlink w:anchor="_Toc94537411" w:history="1">
            <w:r w:rsidR="00027396" w:rsidRPr="00F54C45">
              <w:rPr>
                <w:rStyle w:val="Hyperlink"/>
                <w:noProof/>
              </w:rPr>
              <w:t>Academic/Research Staff</w:t>
            </w:r>
            <w:r w:rsidR="00027396" w:rsidRPr="00F54C45">
              <w:rPr>
                <w:rStyle w:val="Hyperlink"/>
                <w:noProof/>
              </w:rPr>
              <w:tab/>
            </w:r>
            <w:r w:rsidR="00027396" w:rsidRPr="00F54C45">
              <w:rPr>
                <w:noProof/>
                <w:webHidden/>
              </w:rPr>
              <w:fldChar w:fldCharType="begin"/>
            </w:r>
            <w:r w:rsidR="00027396" w:rsidRPr="00F54C45">
              <w:rPr>
                <w:noProof/>
                <w:webHidden/>
              </w:rPr>
              <w:instrText xml:space="preserve"> PAGEREF _Toc94537411 \h </w:instrText>
            </w:r>
            <w:r w:rsidR="00027396" w:rsidRPr="00F54C45">
              <w:rPr>
                <w:noProof/>
                <w:webHidden/>
              </w:rPr>
            </w:r>
            <w:r w:rsidR="00027396" w:rsidRPr="00F54C45">
              <w:rPr>
                <w:noProof/>
                <w:webHidden/>
              </w:rPr>
              <w:fldChar w:fldCharType="separate"/>
            </w:r>
            <w:r w:rsidR="00027396" w:rsidRPr="00F54C45">
              <w:rPr>
                <w:noProof/>
                <w:webHidden/>
              </w:rPr>
              <w:t>17</w:t>
            </w:r>
            <w:r w:rsidR="00027396" w:rsidRPr="00F54C45">
              <w:rPr>
                <w:noProof/>
                <w:webHidden/>
              </w:rPr>
              <w:fldChar w:fldCharType="end"/>
            </w:r>
          </w:hyperlink>
        </w:p>
        <w:p w14:paraId="74207D9D" w14:textId="1BB6D438" w:rsidR="00027396" w:rsidRPr="00F54C45" w:rsidRDefault="001D393A" w:rsidP="00027396">
          <w:pPr>
            <w:pStyle w:val="Sumrio2"/>
            <w:tabs>
              <w:tab w:val="right" w:leader="dot" w:pos="8494"/>
            </w:tabs>
            <w:rPr>
              <w:rFonts w:eastAsiaTheme="minorEastAsia" w:cstheme="minorBidi"/>
              <w:noProof/>
              <w:sz w:val="22"/>
              <w:szCs w:val="22"/>
              <w:lang w:eastAsia="pt-PT"/>
            </w:rPr>
          </w:pPr>
          <w:hyperlink w:anchor="_Toc94537412" w:history="1">
            <w:r w:rsidR="00027396" w:rsidRPr="00F54C45">
              <w:rPr>
                <w:rStyle w:val="Hyperlink"/>
                <w:noProof/>
              </w:rPr>
              <w:t>Technical Staff (</w:t>
            </w:r>
            <w:r w:rsidR="00485FAC" w:rsidRPr="00F54C45">
              <w:rPr>
                <w:rStyle w:val="Hyperlink"/>
                <w:noProof/>
              </w:rPr>
              <w:t>employees/</w:t>
            </w:r>
            <w:r w:rsidR="00027396" w:rsidRPr="00F54C45">
              <w:rPr>
                <w:rStyle w:val="Hyperlink"/>
                <w:noProof/>
              </w:rPr>
              <w:t>non-teaching staff)</w:t>
            </w:r>
            <w:r w:rsidR="00027396" w:rsidRPr="00F54C45">
              <w:rPr>
                <w:noProof/>
                <w:webHidden/>
              </w:rPr>
              <w:tab/>
            </w:r>
            <w:r w:rsidR="00027396" w:rsidRPr="00F54C45">
              <w:rPr>
                <w:noProof/>
                <w:webHidden/>
              </w:rPr>
              <w:fldChar w:fldCharType="begin"/>
            </w:r>
            <w:r w:rsidR="00027396" w:rsidRPr="00F54C45">
              <w:rPr>
                <w:noProof/>
                <w:webHidden/>
              </w:rPr>
              <w:instrText xml:space="preserve"> PAGEREF _Toc94537412 \h </w:instrText>
            </w:r>
            <w:r w:rsidR="00027396" w:rsidRPr="00F54C45">
              <w:rPr>
                <w:noProof/>
                <w:webHidden/>
              </w:rPr>
            </w:r>
            <w:r w:rsidR="00027396" w:rsidRPr="00F54C45">
              <w:rPr>
                <w:noProof/>
                <w:webHidden/>
              </w:rPr>
              <w:fldChar w:fldCharType="separate"/>
            </w:r>
            <w:r w:rsidR="00027396" w:rsidRPr="00F54C45">
              <w:rPr>
                <w:noProof/>
                <w:webHidden/>
              </w:rPr>
              <w:t>17</w:t>
            </w:r>
            <w:r w:rsidR="00027396" w:rsidRPr="00F54C45">
              <w:rPr>
                <w:noProof/>
                <w:webHidden/>
              </w:rPr>
              <w:fldChar w:fldCharType="end"/>
            </w:r>
          </w:hyperlink>
        </w:p>
        <w:p w14:paraId="1D7FE96C" w14:textId="2B37D40E" w:rsidR="00027396" w:rsidRPr="00F54C45" w:rsidRDefault="001D393A" w:rsidP="00027396">
          <w:pPr>
            <w:pStyle w:val="Sumrio2"/>
            <w:tabs>
              <w:tab w:val="right" w:leader="dot" w:pos="8494"/>
            </w:tabs>
            <w:rPr>
              <w:rFonts w:eastAsiaTheme="minorEastAsia" w:cstheme="minorBidi"/>
              <w:noProof/>
              <w:sz w:val="22"/>
              <w:szCs w:val="22"/>
              <w:lang w:eastAsia="pt-PT"/>
            </w:rPr>
          </w:pPr>
          <w:hyperlink w:anchor="_Toc94537413" w:history="1">
            <w:r w:rsidR="00027396" w:rsidRPr="00F54C45">
              <w:rPr>
                <w:rStyle w:val="Hyperlink"/>
                <w:noProof/>
              </w:rPr>
              <w:t>Work-Life balance</w:t>
            </w:r>
            <w:r w:rsidR="00027396" w:rsidRPr="00F54C45">
              <w:rPr>
                <w:noProof/>
                <w:webHidden/>
              </w:rPr>
              <w:tab/>
            </w:r>
            <w:r w:rsidR="00027396" w:rsidRPr="00F54C45">
              <w:rPr>
                <w:noProof/>
                <w:webHidden/>
              </w:rPr>
              <w:fldChar w:fldCharType="begin"/>
            </w:r>
            <w:r w:rsidR="00027396" w:rsidRPr="00F54C45">
              <w:rPr>
                <w:noProof/>
                <w:webHidden/>
              </w:rPr>
              <w:instrText xml:space="preserve"> PAGEREF _Toc94537413 \h </w:instrText>
            </w:r>
            <w:r w:rsidR="00027396" w:rsidRPr="00F54C45">
              <w:rPr>
                <w:noProof/>
                <w:webHidden/>
              </w:rPr>
            </w:r>
            <w:r w:rsidR="00027396" w:rsidRPr="00F54C45">
              <w:rPr>
                <w:noProof/>
                <w:webHidden/>
              </w:rPr>
              <w:fldChar w:fldCharType="separate"/>
            </w:r>
            <w:r w:rsidR="00027396" w:rsidRPr="00F54C45">
              <w:rPr>
                <w:noProof/>
                <w:webHidden/>
              </w:rPr>
              <w:t>18</w:t>
            </w:r>
            <w:r w:rsidR="00027396" w:rsidRPr="00F54C45">
              <w:rPr>
                <w:noProof/>
                <w:webHidden/>
              </w:rPr>
              <w:fldChar w:fldCharType="end"/>
            </w:r>
          </w:hyperlink>
        </w:p>
        <w:p w14:paraId="4F2A919A" w14:textId="70F4BF9F" w:rsidR="00027396" w:rsidRPr="00F54C45" w:rsidRDefault="001D393A" w:rsidP="00027396">
          <w:pPr>
            <w:pStyle w:val="Sumrio2"/>
            <w:tabs>
              <w:tab w:val="right" w:leader="dot" w:pos="8494"/>
            </w:tabs>
            <w:rPr>
              <w:rFonts w:eastAsiaTheme="minorEastAsia" w:cstheme="minorBidi"/>
              <w:noProof/>
              <w:sz w:val="22"/>
              <w:szCs w:val="22"/>
              <w:lang w:eastAsia="pt-PT"/>
            </w:rPr>
          </w:pPr>
          <w:hyperlink w:anchor="_Toc94537414" w:history="1">
            <w:r w:rsidR="00027396" w:rsidRPr="00F54C45">
              <w:rPr>
                <w:rStyle w:val="Hyperlink"/>
                <w:noProof/>
              </w:rPr>
              <w:t xml:space="preserve">Sexism, moobing and sexual and moral harassment </w:t>
            </w:r>
            <w:r w:rsidR="00027396" w:rsidRPr="00F54C45">
              <w:rPr>
                <w:noProof/>
                <w:webHidden/>
              </w:rPr>
              <w:tab/>
            </w:r>
            <w:r w:rsidR="00027396" w:rsidRPr="00F54C45">
              <w:rPr>
                <w:noProof/>
                <w:webHidden/>
              </w:rPr>
              <w:fldChar w:fldCharType="begin"/>
            </w:r>
            <w:r w:rsidR="00027396" w:rsidRPr="00F54C45">
              <w:rPr>
                <w:noProof/>
                <w:webHidden/>
              </w:rPr>
              <w:instrText xml:space="preserve"> PAGEREF _Toc94537414 \h </w:instrText>
            </w:r>
            <w:r w:rsidR="00027396" w:rsidRPr="00F54C45">
              <w:rPr>
                <w:noProof/>
                <w:webHidden/>
              </w:rPr>
            </w:r>
            <w:r w:rsidR="00027396" w:rsidRPr="00F54C45">
              <w:rPr>
                <w:noProof/>
                <w:webHidden/>
              </w:rPr>
              <w:fldChar w:fldCharType="separate"/>
            </w:r>
            <w:r w:rsidR="00027396" w:rsidRPr="00F54C45">
              <w:rPr>
                <w:noProof/>
                <w:webHidden/>
              </w:rPr>
              <w:t>19</w:t>
            </w:r>
            <w:r w:rsidR="00027396" w:rsidRPr="00F54C45">
              <w:rPr>
                <w:noProof/>
                <w:webHidden/>
              </w:rPr>
              <w:fldChar w:fldCharType="end"/>
            </w:r>
          </w:hyperlink>
        </w:p>
        <w:p w14:paraId="2F2091B8" w14:textId="26E02A67" w:rsidR="00027396" w:rsidRPr="00F54C45" w:rsidRDefault="002A5C75" w:rsidP="00027396">
          <w:pPr>
            <w:pStyle w:val="Sumrio1"/>
            <w:tabs>
              <w:tab w:val="right" w:leader="dot" w:pos="8494"/>
            </w:tabs>
            <w:rPr>
              <w:rFonts w:eastAsiaTheme="minorEastAsia" w:cstheme="minorBidi"/>
              <w:noProof/>
              <w:sz w:val="22"/>
              <w:szCs w:val="22"/>
              <w:lang w:eastAsia="pt-PT"/>
            </w:rPr>
          </w:pPr>
          <w:r>
            <w:t xml:space="preserve"> </w:t>
          </w:r>
          <w:hyperlink w:anchor="_Toc94537415" w:history="1">
            <w:r w:rsidR="00027396" w:rsidRPr="00F54C45">
              <w:rPr>
                <w:rStyle w:val="Hyperlink"/>
                <w:noProof/>
              </w:rPr>
              <w:t>Action Plan</w:t>
            </w:r>
            <w:r w:rsidR="00027396" w:rsidRPr="00F54C45">
              <w:rPr>
                <w:noProof/>
                <w:webHidden/>
              </w:rPr>
              <w:tab/>
            </w:r>
            <w:r w:rsidR="00027396" w:rsidRPr="00F54C45">
              <w:rPr>
                <w:noProof/>
                <w:webHidden/>
              </w:rPr>
              <w:fldChar w:fldCharType="begin"/>
            </w:r>
            <w:r w:rsidR="00027396" w:rsidRPr="00F54C45">
              <w:rPr>
                <w:noProof/>
                <w:webHidden/>
              </w:rPr>
              <w:instrText xml:space="preserve"> PAGEREF _Toc94537415 \h </w:instrText>
            </w:r>
            <w:r w:rsidR="00027396" w:rsidRPr="00F54C45">
              <w:rPr>
                <w:noProof/>
                <w:webHidden/>
              </w:rPr>
            </w:r>
            <w:r w:rsidR="00027396" w:rsidRPr="00F54C45">
              <w:rPr>
                <w:noProof/>
                <w:webHidden/>
              </w:rPr>
              <w:fldChar w:fldCharType="separate"/>
            </w:r>
            <w:r w:rsidR="00027396" w:rsidRPr="00F54C45">
              <w:rPr>
                <w:noProof/>
                <w:webHidden/>
              </w:rPr>
              <w:t>20</w:t>
            </w:r>
            <w:r w:rsidR="00027396" w:rsidRPr="00F54C45">
              <w:rPr>
                <w:noProof/>
                <w:webHidden/>
              </w:rPr>
              <w:fldChar w:fldCharType="end"/>
            </w:r>
          </w:hyperlink>
        </w:p>
        <w:p w14:paraId="0F831258" w14:textId="0AF78611" w:rsidR="00027396" w:rsidRPr="00F54C45" w:rsidRDefault="001D393A" w:rsidP="00027396">
          <w:pPr>
            <w:pStyle w:val="Sumrio2"/>
            <w:tabs>
              <w:tab w:val="right" w:leader="dot" w:pos="8494"/>
            </w:tabs>
            <w:rPr>
              <w:rFonts w:eastAsiaTheme="minorEastAsia" w:cstheme="minorBidi"/>
              <w:noProof/>
              <w:sz w:val="22"/>
              <w:szCs w:val="22"/>
              <w:lang w:eastAsia="pt-PT"/>
            </w:rPr>
          </w:pPr>
          <w:hyperlink w:anchor="_Toc94537416" w:history="1">
            <w:r w:rsidR="00814D5B" w:rsidRPr="00F54C45">
              <w:rPr>
                <w:rStyle w:val="Hyperlink"/>
                <w:noProof/>
              </w:rPr>
              <w:t>Priority Area</w:t>
            </w:r>
            <w:r w:rsidR="00027396" w:rsidRPr="00F54C45">
              <w:rPr>
                <w:rStyle w:val="Hyperlink"/>
                <w:noProof/>
              </w:rPr>
              <w:t xml:space="preserve"> 1 - Governance</w:t>
            </w:r>
            <w:r w:rsidR="00027396" w:rsidRPr="00F54C45">
              <w:rPr>
                <w:noProof/>
                <w:webHidden/>
              </w:rPr>
              <w:tab/>
            </w:r>
            <w:r w:rsidR="00027396" w:rsidRPr="00F54C45">
              <w:rPr>
                <w:noProof/>
                <w:webHidden/>
              </w:rPr>
              <w:fldChar w:fldCharType="begin"/>
            </w:r>
            <w:r w:rsidR="00027396" w:rsidRPr="00F54C45">
              <w:rPr>
                <w:noProof/>
                <w:webHidden/>
              </w:rPr>
              <w:instrText xml:space="preserve"> PAGEREF _Toc94537416 \h </w:instrText>
            </w:r>
            <w:r w:rsidR="00027396" w:rsidRPr="00F54C45">
              <w:rPr>
                <w:noProof/>
                <w:webHidden/>
              </w:rPr>
            </w:r>
            <w:r w:rsidR="00027396" w:rsidRPr="00F54C45">
              <w:rPr>
                <w:noProof/>
                <w:webHidden/>
              </w:rPr>
              <w:fldChar w:fldCharType="separate"/>
            </w:r>
            <w:r w:rsidR="00027396" w:rsidRPr="00F54C45">
              <w:rPr>
                <w:noProof/>
                <w:webHidden/>
              </w:rPr>
              <w:t>20</w:t>
            </w:r>
            <w:r w:rsidR="00027396" w:rsidRPr="00F54C45">
              <w:rPr>
                <w:noProof/>
                <w:webHidden/>
              </w:rPr>
              <w:fldChar w:fldCharType="end"/>
            </w:r>
          </w:hyperlink>
        </w:p>
        <w:p w14:paraId="32636CEC" w14:textId="091EBC86" w:rsidR="00027396" w:rsidRPr="00F54C45" w:rsidRDefault="001D393A" w:rsidP="00027396">
          <w:pPr>
            <w:pStyle w:val="Sumrio2"/>
            <w:tabs>
              <w:tab w:val="right" w:leader="dot" w:pos="8494"/>
            </w:tabs>
            <w:rPr>
              <w:rFonts w:eastAsiaTheme="minorEastAsia" w:cstheme="minorBidi"/>
              <w:noProof/>
              <w:sz w:val="22"/>
              <w:szCs w:val="22"/>
              <w:lang w:eastAsia="pt-PT"/>
            </w:rPr>
          </w:pPr>
          <w:hyperlink w:anchor="_Toc94537417" w:history="1">
            <w:r w:rsidR="00814D5B" w:rsidRPr="00F54C45">
              <w:rPr>
                <w:rStyle w:val="Hyperlink"/>
                <w:noProof/>
              </w:rPr>
              <w:t>Priority Area</w:t>
            </w:r>
            <w:r w:rsidR="00027396" w:rsidRPr="00F54C45">
              <w:rPr>
                <w:rStyle w:val="Hyperlink"/>
                <w:noProof/>
              </w:rPr>
              <w:t xml:space="preserve"> 2 - Internal and external communication</w:t>
            </w:r>
            <w:r w:rsidR="00027396" w:rsidRPr="00F54C45">
              <w:rPr>
                <w:noProof/>
                <w:webHidden/>
              </w:rPr>
              <w:tab/>
            </w:r>
            <w:r w:rsidR="00027396" w:rsidRPr="00F54C45">
              <w:rPr>
                <w:noProof/>
                <w:webHidden/>
              </w:rPr>
              <w:fldChar w:fldCharType="begin"/>
            </w:r>
            <w:r w:rsidR="00027396" w:rsidRPr="00F54C45">
              <w:rPr>
                <w:noProof/>
                <w:webHidden/>
              </w:rPr>
              <w:instrText xml:space="preserve"> PAGEREF _Toc94537417 \h </w:instrText>
            </w:r>
            <w:r w:rsidR="00027396" w:rsidRPr="00F54C45">
              <w:rPr>
                <w:noProof/>
                <w:webHidden/>
              </w:rPr>
            </w:r>
            <w:r w:rsidR="00027396" w:rsidRPr="00F54C45">
              <w:rPr>
                <w:noProof/>
                <w:webHidden/>
              </w:rPr>
              <w:fldChar w:fldCharType="separate"/>
            </w:r>
            <w:r w:rsidR="00027396" w:rsidRPr="00F54C45">
              <w:rPr>
                <w:noProof/>
                <w:webHidden/>
              </w:rPr>
              <w:t>21</w:t>
            </w:r>
            <w:r w:rsidR="00027396" w:rsidRPr="00F54C45">
              <w:rPr>
                <w:noProof/>
                <w:webHidden/>
              </w:rPr>
              <w:fldChar w:fldCharType="end"/>
            </w:r>
          </w:hyperlink>
        </w:p>
        <w:p w14:paraId="2B5660FE" w14:textId="6FD5C881" w:rsidR="00027396" w:rsidRPr="00F54C45" w:rsidRDefault="001D393A" w:rsidP="00027396">
          <w:pPr>
            <w:pStyle w:val="Sumrio2"/>
            <w:tabs>
              <w:tab w:val="right" w:leader="dot" w:pos="8494"/>
            </w:tabs>
            <w:rPr>
              <w:rFonts w:eastAsiaTheme="minorEastAsia" w:cstheme="minorBidi"/>
              <w:noProof/>
              <w:sz w:val="22"/>
              <w:szCs w:val="22"/>
              <w:lang w:eastAsia="pt-PT"/>
            </w:rPr>
          </w:pPr>
          <w:hyperlink w:anchor="_Toc94537418" w:history="1">
            <w:r w:rsidR="00814D5B" w:rsidRPr="00F54C45">
              <w:rPr>
                <w:rStyle w:val="Hyperlink"/>
                <w:noProof/>
              </w:rPr>
              <w:t>Priority Area</w:t>
            </w:r>
            <w:r w:rsidR="00027396" w:rsidRPr="00F54C45">
              <w:rPr>
                <w:rStyle w:val="Hyperlink"/>
                <w:noProof/>
              </w:rPr>
              <w:t xml:space="preserve"> 3 - Gender, education and research</w:t>
            </w:r>
            <w:r w:rsidR="00027396" w:rsidRPr="00F54C45">
              <w:rPr>
                <w:noProof/>
                <w:webHidden/>
              </w:rPr>
              <w:tab/>
            </w:r>
            <w:r w:rsidR="00027396" w:rsidRPr="00F54C45">
              <w:rPr>
                <w:noProof/>
                <w:webHidden/>
              </w:rPr>
              <w:fldChar w:fldCharType="begin"/>
            </w:r>
            <w:r w:rsidR="00027396" w:rsidRPr="00F54C45">
              <w:rPr>
                <w:noProof/>
                <w:webHidden/>
              </w:rPr>
              <w:instrText xml:space="preserve"> PAGEREF _Toc94537418 \h </w:instrText>
            </w:r>
            <w:r w:rsidR="00027396" w:rsidRPr="00F54C45">
              <w:rPr>
                <w:noProof/>
                <w:webHidden/>
              </w:rPr>
            </w:r>
            <w:r w:rsidR="00027396" w:rsidRPr="00F54C45">
              <w:rPr>
                <w:noProof/>
                <w:webHidden/>
              </w:rPr>
              <w:fldChar w:fldCharType="separate"/>
            </w:r>
            <w:r w:rsidR="00027396" w:rsidRPr="00F54C45">
              <w:rPr>
                <w:noProof/>
                <w:webHidden/>
              </w:rPr>
              <w:t>21</w:t>
            </w:r>
            <w:r w:rsidR="00027396" w:rsidRPr="00F54C45">
              <w:rPr>
                <w:noProof/>
                <w:webHidden/>
              </w:rPr>
              <w:fldChar w:fldCharType="end"/>
            </w:r>
          </w:hyperlink>
        </w:p>
        <w:p w14:paraId="2BD3C026" w14:textId="62D75F40" w:rsidR="00027396" w:rsidRPr="00F54C45" w:rsidRDefault="001D393A" w:rsidP="00027396">
          <w:pPr>
            <w:pStyle w:val="Sumrio2"/>
            <w:tabs>
              <w:tab w:val="right" w:leader="dot" w:pos="8494"/>
            </w:tabs>
            <w:rPr>
              <w:rFonts w:eastAsiaTheme="minorEastAsia" w:cstheme="minorBidi"/>
              <w:noProof/>
              <w:sz w:val="22"/>
              <w:szCs w:val="22"/>
              <w:lang w:eastAsia="pt-PT"/>
            </w:rPr>
          </w:pPr>
          <w:hyperlink w:anchor="_Toc94537419" w:history="1">
            <w:r w:rsidR="00814D5B" w:rsidRPr="00F54C45">
              <w:rPr>
                <w:rStyle w:val="Hyperlink"/>
                <w:noProof/>
              </w:rPr>
              <w:t>Priority Area</w:t>
            </w:r>
            <w:r w:rsidR="00027396" w:rsidRPr="00F54C45">
              <w:rPr>
                <w:rStyle w:val="Hyperlink"/>
                <w:noProof/>
              </w:rPr>
              <w:t xml:space="preserve"> 4 – Harassment, sexist attitudes and violence</w:t>
            </w:r>
            <w:r w:rsidR="00027396" w:rsidRPr="00F54C45">
              <w:rPr>
                <w:noProof/>
                <w:webHidden/>
              </w:rPr>
              <w:tab/>
            </w:r>
            <w:r w:rsidR="00027396" w:rsidRPr="00F54C45">
              <w:rPr>
                <w:noProof/>
                <w:webHidden/>
              </w:rPr>
              <w:fldChar w:fldCharType="begin"/>
            </w:r>
            <w:r w:rsidR="00027396" w:rsidRPr="00F54C45">
              <w:rPr>
                <w:noProof/>
                <w:webHidden/>
              </w:rPr>
              <w:instrText xml:space="preserve"> PAGEREF _Toc94537419 \h </w:instrText>
            </w:r>
            <w:r w:rsidR="00027396" w:rsidRPr="00F54C45">
              <w:rPr>
                <w:noProof/>
                <w:webHidden/>
              </w:rPr>
            </w:r>
            <w:r w:rsidR="00027396" w:rsidRPr="00F54C45">
              <w:rPr>
                <w:noProof/>
                <w:webHidden/>
              </w:rPr>
              <w:fldChar w:fldCharType="separate"/>
            </w:r>
            <w:r w:rsidR="00027396" w:rsidRPr="00F54C45">
              <w:rPr>
                <w:noProof/>
                <w:webHidden/>
              </w:rPr>
              <w:t>21</w:t>
            </w:r>
            <w:r w:rsidR="00027396" w:rsidRPr="00F54C45">
              <w:rPr>
                <w:noProof/>
                <w:webHidden/>
              </w:rPr>
              <w:fldChar w:fldCharType="end"/>
            </w:r>
          </w:hyperlink>
        </w:p>
        <w:p w14:paraId="757F3D68" w14:textId="54818FB0" w:rsidR="00027396" w:rsidRPr="00F54C45" w:rsidRDefault="001D393A" w:rsidP="00027396">
          <w:pPr>
            <w:pStyle w:val="Sumrio2"/>
            <w:tabs>
              <w:tab w:val="right" w:leader="dot" w:pos="8494"/>
            </w:tabs>
            <w:rPr>
              <w:rFonts w:eastAsiaTheme="minorEastAsia" w:cstheme="minorBidi"/>
              <w:noProof/>
              <w:sz w:val="22"/>
              <w:szCs w:val="22"/>
              <w:lang w:eastAsia="pt-PT"/>
            </w:rPr>
          </w:pPr>
          <w:hyperlink w:anchor="_Toc94537420" w:history="1">
            <w:r w:rsidR="00814D5B" w:rsidRPr="00F54C45">
              <w:rPr>
                <w:rStyle w:val="Hyperlink"/>
                <w:noProof/>
              </w:rPr>
              <w:t>Priority Area</w:t>
            </w:r>
            <w:r w:rsidR="00027396" w:rsidRPr="00F54C45">
              <w:rPr>
                <w:rStyle w:val="Hyperlink"/>
                <w:noProof/>
              </w:rPr>
              <w:t xml:space="preserve"> 5 – Diversity and inclusion</w:t>
            </w:r>
            <w:r w:rsidR="00027396" w:rsidRPr="00F54C45">
              <w:rPr>
                <w:noProof/>
                <w:webHidden/>
              </w:rPr>
              <w:tab/>
            </w:r>
            <w:r w:rsidR="00027396" w:rsidRPr="00F54C45">
              <w:rPr>
                <w:noProof/>
                <w:webHidden/>
              </w:rPr>
              <w:fldChar w:fldCharType="begin"/>
            </w:r>
            <w:r w:rsidR="00027396" w:rsidRPr="00F54C45">
              <w:rPr>
                <w:noProof/>
                <w:webHidden/>
              </w:rPr>
              <w:instrText xml:space="preserve"> PAGEREF _Toc94537420 \h </w:instrText>
            </w:r>
            <w:r w:rsidR="00027396" w:rsidRPr="00F54C45">
              <w:rPr>
                <w:noProof/>
                <w:webHidden/>
              </w:rPr>
            </w:r>
            <w:r w:rsidR="00027396" w:rsidRPr="00F54C45">
              <w:rPr>
                <w:noProof/>
                <w:webHidden/>
              </w:rPr>
              <w:fldChar w:fldCharType="separate"/>
            </w:r>
            <w:r w:rsidR="00027396" w:rsidRPr="00F54C45">
              <w:rPr>
                <w:noProof/>
                <w:webHidden/>
              </w:rPr>
              <w:t>21</w:t>
            </w:r>
            <w:r w:rsidR="00027396" w:rsidRPr="00F54C45">
              <w:rPr>
                <w:noProof/>
                <w:webHidden/>
              </w:rPr>
              <w:fldChar w:fldCharType="end"/>
            </w:r>
          </w:hyperlink>
        </w:p>
        <w:p w14:paraId="2D63A330" w14:textId="358B48CA" w:rsidR="00027396" w:rsidRPr="00F54C45" w:rsidRDefault="001D393A" w:rsidP="00027396">
          <w:pPr>
            <w:pStyle w:val="Sumrio2"/>
            <w:tabs>
              <w:tab w:val="right" w:leader="dot" w:pos="8494"/>
            </w:tabs>
            <w:rPr>
              <w:rFonts w:eastAsiaTheme="minorEastAsia" w:cstheme="minorBidi"/>
              <w:noProof/>
              <w:sz w:val="22"/>
              <w:szCs w:val="22"/>
              <w:lang w:eastAsia="pt-PT"/>
            </w:rPr>
          </w:pPr>
          <w:hyperlink w:anchor="_Toc94537421" w:history="1">
            <w:r w:rsidR="00814D5B" w:rsidRPr="00F54C45">
              <w:rPr>
                <w:rStyle w:val="Hyperlink"/>
                <w:noProof/>
              </w:rPr>
              <w:t>Priority Area</w:t>
            </w:r>
            <w:r w:rsidR="00027396" w:rsidRPr="00F54C45">
              <w:rPr>
                <w:rStyle w:val="Hyperlink"/>
                <w:noProof/>
              </w:rPr>
              <w:t xml:space="preserve"> 6 – Balance between professional life and personal/family life</w:t>
            </w:r>
            <w:r w:rsidR="00027396" w:rsidRPr="00F54C45">
              <w:rPr>
                <w:noProof/>
                <w:webHidden/>
              </w:rPr>
              <w:tab/>
            </w:r>
            <w:r w:rsidR="00027396" w:rsidRPr="00F54C45">
              <w:rPr>
                <w:noProof/>
                <w:webHidden/>
              </w:rPr>
              <w:fldChar w:fldCharType="begin"/>
            </w:r>
            <w:r w:rsidR="00027396" w:rsidRPr="00F54C45">
              <w:rPr>
                <w:noProof/>
                <w:webHidden/>
              </w:rPr>
              <w:instrText xml:space="preserve"> PAGEREF _Toc94537421 \h </w:instrText>
            </w:r>
            <w:r w:rsidR="00027396" w:rsidRPr="00F54C45">
              <w:rPr>
                <w:noProof/>
                <w:webHidden/>
              </w:rPr>
            </w:r>
            <w:r w:rsidR="00027396" w:rsidRPr="00F54C45">
              <w:rPr>
                <w:noProof/>
                <w:webHidden/>
              </w:rPr>
              <w:fldChar w:fldCharType="separate"/>
            </w:r>
            <w:r w:rsidR="00027396" w:rsidRPr="00F54C45">
              <w:rPr>
                <w:noProof/>
                <w:webHidden/>
              </w:rPr>
              <w:t>21</w:t>
            </w:r>
            <w:r w:rsidR="00027396" w:rsidRPr="00F54C45">
              <w:rPr>
                <w:noProof/>
                <w:webHidden/>
              </w:rPr>
              <w:fldChar w:fldCharType="end"/>
            </w:r>
          </w:hyperlink>
        </w:p>
        <w:p w14:paraId="62782B32" w14:textId="3F7E4791" w:rsidR="00027396" w:rsidRPr="00F54C45" w:rsidRDefault="001D393A" w:rsidP="00027396">
          <w:pPr>
            <w:pStyle w:val="Sumrio1"/>
            <w:tabs>
              <w:tab w:val="right" w:leader="dot" w:pos="8494"/>
            </w:tabs>
            <w:rPr>
              <w:rFonts w:eastAsiaTheme="minorEastAsia" w:cstheme="minorBidi"/>
              <w:noProof/>
              <w:sz w:val="22"/>
              <w:szCs w:val="22"/>
              <w:lang w:eastAsia="pt-PT"/>
            </w:rPr>
          </w:pPr>
          <w:hyperlink w:anchor="_Toc94537422" w:history="1">
            <w:r w:rsidR="00027396" w:rsidRPr="00F54C45">
              <w:rPr>
                <w:rStyle w:val="Hyperlink"/>
                <w:rFonts w:eastAsia="Times New Roman"/>
                <w:noProof/>
                <w:lang w:eastAsia="pt-PT"/>
              </w:rPr>
              <w:t xml:space="preserve">Final Remark </w:t>
            </w:r>
            <w:r w:rsidR="00027396" w:rsidRPr="00F54C45">
              <w:rPr>
                <w:noProof/>
                <w:webHidden/>
              </w:rPr>
              <w:tab/>
            </w:r>
            <w:r w:rsidR="00027396" w:rsidRPr="00F54C45">
              <w:rPr>
                <w:noProof/>
                <w:webHidden/>
              </w:rPr>
              <w:fldChar w:fldCharType="begin"/>
            </w:r>
            <w:r w:rsidR="00027396" w:rsidRPr="00F54C45">
              <w:rPr>
                <w:noProof/>
                <w:webHidden/>
              </w:rPr>
              <w:instrText xml:space="preserve"> PAGEREF _Toc94537422 \h </w:instrText>
            </w:r>
            <w:r w:rsidR="00027396" w:rsidRPr="00F54C45">
              <w:rPr>
                <w:noProof/>
                <w:webHidden/>
              </w:rPr>
            </w:r>
            <w:r w:rsidR="00027396" w:rsidRPr="00F54C45">
              <w:rPr>
                <w:noProof/>
                <w:webHidden/>
              </w:rPr>
              <w:fldChar w:fldCharType="separate"/>
            </w:r>
            <w:r w:rsidR="00027396" w:rsidRPr="00F54C45">
              <w:rPr>
                <w:noProof/>
                <w:webHidden/>
              </w:rPr>
              <w:t>31</w:t>
            </w:r>
            <w:r w:rsidR="00027396" w:rsidRPr="00F54C45">
              <w:rPr>
                <w:noProof/>
                <w:webHidden/>
              </w:rPr>
              <w:fldChar w:fldCharType="end"/>
            </w:r>
          </w:hyperlink>
        </w:p>
        <w:p w14:paraId="371E174C" w14:textId="77777777" w:rsidR="00027396" w:rsidRPr="00F54C45" w:rsidRDefault="00027396" w:rsidP="00027396">
          <w:r w:rsidRPr="00F54C45">
            <w:fldChar w:fldCharType="end"/>
          </w:r>
        </w:p>
      </w:sdtContent>
    </w:sdt>
    <w:p w14:paraId="0D396F6F" w14:textId="7E9EFBB7" w:rsidR="00C8391E" w:rsidRPr="00F54C45" w:rsidRDefault="00C8391E" w:rsidP="006C1EF2"/>
    <w:p w14:paraId="7C096CC4" w14:textId="5EE6B13D" w:rsidR="00970165" w:rsidRPr="00F54C45" w:rsidRDefault="00970165" w:rsidP="00E7524A">
      <w:pPr>
        <w:pStyle w:val="Ttulo1"/>
      </w:pPr>
      <w:bookmarkStart w:id="0" w:name="_Toc94537404"/>
      <w:r w:rsidRPr="00F54C45">
        <w:lastRenderedPageBreak/>
        <w:t xml:space="preserve">Message from the President </w:t>
      </w:r>
      <w:bookmarkEnd w:id="0"/>
    </w:p>
    <w:p w14:paraId="3A7D3D77" w14:textId="6642AFEE" w:rsidR="00970165" w:rsidRPr="00F54C45" w:rsidRDefault="00970165" w:rsidP="00970165">
      <w:pPr>
        <w:tabs>
          <w:tab w:val="left" w:pos="996"/>
          <w:tab w:val="left" w:pos="1476"/>
        </w:tabs>
      </w:pPr>
      <w:r w:rsidRPr="00F54C45">
        <w:t>The Instituto Politécnico de Tomar (IPT) incorporates in its strategic framework a policy of inclusion independent of gender, ethnicity or religion and in accordance with the Sustainable Development Goals set by the United Nations Organisation.</w:t>
      </w:r>
      <w:r w:rsidR="00027396" w:rsidRPr="00F54C45">
        <w:t xml:space="preserve"> </w:t>
      </w:r>
      <w:r w:rsidRPr="00F54C45">
        <w:t xml:space="preserve">This understanding aims at the quality and excellence of all the activities we develop and in which we participate.  The construction of a more tolerant, diverse and inclusive society must be, more than a goal, a reality examined down to the smallest detail.  </w:t>
      </w:r>
    </w:p>
    <w:p w14:paraId="71ABCC61" w14:textId="7BFF52B0" w:rsidR="00970165" w:rsidRPr="00F54C45" w:rsidRDefault="00970165" w:rsidP="00970165">
      <w:pPr>
        <w:tabs>
          <w:tab w:val="left" w:pos="996"/>
          <w:tab w:val="left" w:pos="1476"/>
        </w:tabs>
      </w:pPr>
      <w:r w:rsidRPr="00F54C45">
        <w:t>The "IPT Gender Equality, Inclusion and Diversity Action Plan" was developed based on the methodologies recommended in the GEAR tool (Gender Equality in Academia and Research) and in the SAGE Wheel Toolkit2.  It was developed by a multidisciplinary team based on diagnos</w:t>
      </w:r>
      <w:r w:rsidR="008319E3" w:rsidRPr="00F54C45">
        <w:t>tic</w:t>
      </w:r>
      <w:r w:rsidRPr="00F54C45">
        <w:t xml:space="preserve"> of official statistical data and surveys done among IPT community.  This information gave rise to a set of objectives, responsible actions, indicators and goals to be achieved in the next triennium. I am sure that the whole academic community and each of us is sensitive and will take care to achieve these important goals in the fulfilment of the plan and of our mission, of "(...) access to knowledge for the benefit of people and society, through research, teaching and cooperation in a project of holistic development of the individual (...)".</w:t>
      </w:r>
    </w:p>
    <w:p w14:paraId="66CC9062" w14:textId="77777777" w:rsidR="00970165" w:rsidRPr="00F54C45" w:rsidRDefault="00970165" w:rsidP="00970165">
      <w:pPr>
        <w:tabs>
          <w:tab w:val="left" w:pos="996"/>
          <w:tab w:val="left" w:pos="1476"/>
        </w:tabs>
      </w:pPr>
    </w:p>
    <w:p w14:paraId="50CBF636" w14:textId="77777777" w:rsidR="00970165" w:rsidRPr="00F54C45" w:rsidRDefault="00970165" w:rsidP="00970165">
      <w:pPr>
        <w:tabs>
          <w:tab w:val="left" w:pos="996"/>
          <w:tab w:val="left" w:pos="1476"/>
        </w:tabs>
        <w:rPr>
          <w:lang w:val="pt-PT"/>
        </w:rPr>
      </w:pPr>
      <w:r w:rsidRPr="00F54C45">
        <w:rPr>
          <w:lang w:val="pt-PT"/>
        </w:rPr>
        <w:t>Instituto Politécnico de Tomar, 31 January 2022</w:t>
      </w:r>
    </w:p>
    <w:p w14:paraId="3BB16410" w14:textId="77777777" w:rsidR="00970165" w:rsidRPr="00F54C45" w:rsidRDefault="00970165" w:rsidP="00970165">
      <w:pPr>
        <w:tabs>
          <w:tab w:val="left" w:pos="996"/>
          <w:tab w:val="left" w:pos="1476"/>
        </w:tabs>
      </w:pPr>
      <w:r w:rsidRPr="00F54C45">
        <w:t>The President</w:t>
      </w:r>
    </w:p>
    <w:p w14:paraId="532A63A6" w14:textId="1C539F22" w:rsidR="00970165" w:rsidRPr="00F54C45" w:rsidRDefault="00970165" w:rsidP="00970165">
      <w:pPr>
        <w:tabs>
          <w:tab w:val="left" w:pos="996"/>
          <w:tab w:val="left" w:pos="1476"/>
        </w:tabs>
      </w:pPr>
    </w:p>
    <w:p w14:paraId="73734DBB" w14:textId="14B74CCC" w:rsidR="00641CE5" w:rsidRPr="00F54C45" w:rsidRDefault="00D407FE" w:rsidP="00027396">
      <w:pPr>
        <w:pStyle w:val="Ttulo1"/>
        <w:spacing w:after="0"/>
      </w:pPr>
      <w:bookmarkStart w:id="1" w:name="_Toc94537405"/>
      <w:r w:rsidRPr="00F54C45">
        <w:lastRenderedPageBreak/>
        <w:t>Introduction</w:t>
      </w:r>
      <w:bookmarkEnd w:id="1"/>
    </w:p>
    <w:p w14:paraId="2979F8EB" w14:textId="65AC58C3" w:rsidR="007325AA" w:rsidRPr="00F54C45" w:rsidRDefault="00374DA9" w:rsidP="00027396">
      <w:pPr>
        <w:spacing w:after="0"/>
      </w:pPr>
      <w:r w:rsidRPr="00F54C45">
        <w:t>This Gender Equality, Diversity and Inclusion Plan is designed to implement and develop internal policies and practices that promote equal opportunities, diversity and inclusion in the IPT community, actively contributing to the achievement of sustainable development goals that act directly on this cause, specifically SDG 5 (gender equality) and SDG 10 (reduce inequalities).</w:t>
      </w:r>
    </w:p>
    <w:p w14:paraId="7AA11F58" w14:textId="77777777" w:rsidR="00027396" w:rsidRPr="00F54C45" w:rsidRDefault="008523B3" w:rsidP="00027396">
      <w:pPr>
        <w:spacing w:after="0"/>
      </w:pPr>
      <w:r w:rsidRPr="00F54C45">
        <w:t>Diversity must be understood as the recognition, respect and appreciation of the difference(s) among people, including in particular differences related to sex, gender identity, ethnicity, religion, territory of origin, culture, language, ancestry, age, political, sexual, ideological or social orientation, marital status, family situation, economic situation, health status, disability, personal style and education.</w:t>
      </w:r>
    </w:p>
    <w:p w14:paraId="474F1E1F" w14:textId="6E34CCC9" w:rsidR="00E73752" w:rsidRPr="00F54C45" w:rsidRDefault="008523B3" w:rsidP="00027396">
      <w:pPr>
        <w:spacing w:after="0"/>
      </w:pPr>
      <w:r w:rsidRPr="00F54C45">
        <w:br/>
        <w:t xml:space="preserve"> Inclusion must be a process that aims, through the abolition of barriers, at effective equal opportunities, education support and decent employment for all.</w:t>
      </w:r>
    </w:p>
    <w:p w14:paraId="2A4EDBA6" w14:textId="74B45C9E" w:rsidR="00E3230A" w:rsidRPr="00F54C45" w:rsidRDefault="00BB0938" w:rsidP="00027396">
      <w:pPr>
        <w:spacing w:after="0"/>
      </w:pPr>
      <w:r w:rsidRPr="00F54C45">
        <w:t>The IPT thus expects the diversity and inclusion policies to be developed will recognise, understand and value what unites us and what makes us different as a potential source of innovation, problem-solving, focus on the recipient, creativity and employee involvement.</w:t>
      </w:r>
    </w:p>
    <w:p w14:paraId="2E4D2B2C" w14:textId="3354232F" w:rsidR="00B22D46" w:rsidRPr="00F54C45" w:rsidRDefault="00570515" w:rsidP="00027396">
      <w:pPr>
        <w:spacing w:after="0"/>
      </w:pPr>
      <w:r w:rsidRPr="00F54C45">
        <w:t>The IPT also intends to assume the following institutional commitments, which are part of the Portuguese Charter for Diversity subscribed by our Institute, and also the recommendations included in the SAGE (Systemic Action for Gender Equality) Charter of Principles for gender equality:</w:t>
      </w:r>
    </w:p>
    <w:p w14:paraId="617E15D8" w14:textId="098E06BD" w:rsidR="00E3230A" w:rsidRPr="00F54C45" w:rsidRDefault="00E3230A" w:rsidP="00027396">
      <w:pPr>
        <w:pStyle w:val="PargrafodaLista"/>
        <w:numPr>
          <w:ilvl w:val="0"/>
          <w:numId w:val="18"/>
        </w:numPr>
        <w:spacing w:after="0"/>
      </w:pPr>
      <w:r w:rsidRPr="00F54C45">
        <w:t>Incorporate equality and diversity in IPT's strategic documents;</w:t>
      </w:r>
    </w:p>
    <w:p w14:paraId="3D18D7A9" w14:textId="19BA303A" w:rsidR="00E3230A" w:rsidRPr="00F54C45" w:rsidRDefault="001C0997" w:rsidP="00027396">
      <w:pPr>
        <w:pStyle w:val="PargrafodaLista"/>
        <w:numPr>
          <w:ilvl w:val="0"/>
          <w:numId w:val="18"/>
        </w:numPr>
        <w:spacing w:after="0"/>
      </w:pPr>
      <w:r w:rsidRPr="00F54C45">
        <w:t>Encourage gender balance both at the technical or teaching career level, and at the level of institutional governance and decision-making positions;</w:t>
      </w:r>
    </w:p>
    <w:p w14:paraId="7D164036" w14:textId="4813EA38" w:rsidR="007C52D7" w:rsidRPr="00F54C45" w:rsidRDefault="007C52D7" w:rsidP="00027396">
      <w:pPr>
        <w:pStyle w:val="PargrafodaLista"/>
        <w:numPr>
          <w:ilvl w:val="0"/>
          <w:numId w:val="18"/>
        </w:numPr>
        <w:spacing w:after="0"/>
      </w:pPr>
      <w:r w:rsidRPr="00F54C45">
        <w:t>implement Human Resource Management practices based on the principles of diversity and inclusion, namely equal treatment and opportunities in the recruitment and selection process, training and professional development, performance appraisal, career progression and remuneration.</w:t>
      </w:r>
    </w:p>
    <w:p w14:paraId="59AA654E" w14:textId="20266BC8" w:rsidR="00E364DE" w:rsidRPr="00F54C45" w:rsidRDefault="00E364DE" w:rsidP="00027396">
      <w:pPr>
        <w:pStyle w:val="PargrafodaLista"/>
        <w:numPr>
          <w:ilvl w:val="0"/>
          <w:numId w:val="18"/>
        </w:numPr>
        <w:spacing w:after="0"/>
      </w:pPr>
      <w:r w:rsidRPr="00F54C45">
        <w:t>Promote gender equality in research and funding opportunities;</w:t>
      </w:r>
    </w:p>
    <w:p w14:paraId="78FD4DC1" w14:textId="26D4CCA3" w:rsidR="00E364DE" w:rsidRPr="00F54C45" w:rsidRDefault="00E364DE" w:rsidP="00027396">
      <w:pPr>
        <w:pStyle w:val="PargrafodaLista"/>
        <w:numPr>
          <w:ilvl w:val="0"/>
          <w:numId w:val="18"/>
        </w:numPr>
        <w:spacing w:after="0"/>
      </w:pPr>
      <w:r w:rsidRPr="00F54C45">
        <w:lastRenderedPageBreak/>
        <w:t xml:space="preserve">Ensure fairness and gender balance in evaluation panels for grants and institutional and research projects; </w:t>
      </w:r>
    </w:p>
    <w:p w14:paraId="289CDEF3" w14:textId="5D6961BF" w:rsidR="00E364DE" w:rsidRPr="00F54C45" w:rsidRDefault="00E364DE" w:rsidP="00027396">
      <w:pPr>
        <w:pStyle w:val="PargrafodaLista"/>
        <w:numPr>
          <w:ilvl w:val="0"/>
          <w:numId w:val="18"/>
        </w:numPr>
        <w:spacing w:after="0"/>
      </w:pPr>
      <w:r w:rsidRPr="00F54C45">
        <w:t>Ensure the widespread adoption of best practices and awareness for gender equality in IPT's daily activities;</w:t>
      </w:r>
    </w:p>
    <w:p w14:paraId="2521D13E" w14:textId="681162B4" w:rsidR="001C0997" w:rsidRPr="00F54C45" w:rsidRDefault="001C0997" w:rsidP="00027396">
      <w:pPr>
        <w:pStyle w:val="PargrafodaLista"/>
        <w:numPr>
          <w:ilvl w:val="0"/>
          <w:numId w:val="18"/>
        </w:numPr>
        <w:spacing w:after="0"/>
      </w:pPr>
      <w:r w:rsidRPr="00F54C45">
        <w:t>Promote policies that take the family and work-life balance into consideration and that encourage the development of IPT's employees according to their needs and characteristics;</w:t>
      </w:r>
    </w:p>
    <w:p w14:paraId="1D64FD82" w14:textId="5609764D" w:rsidR="007C52D7" w:rsidRPr="00F54C45" w:rsidRDefault="007C52D7" w:rsidP="00027396">
      <w:pPr>
        <w:pStyle w:val="PargrafodaLista"/>
        <w:numPr>
          <w:ilvl w:val="0"/>
          <w:numId w:val="18"/>
        </w:numPr>
        <w:spacing w:after="0"/>
      </w:pPr>
      <w:r w:rsidRPr="00F54C45">
        <w:t>Promote opportunities for reflection, learning and development of practices that promote Diversity both internally and externally;</w:t>
      </w:r>
    </w:p>
    <w:p w14:paraId="465E30BA" w14:textId="4039D088" w:rsidR="001C0997" w:rsidRPr="00F54C45" w:rsidRDefault="001C0997" w:rsidP="00027396">
      <w:pPr>
        <w:pStyle w:val="PargrafodaLista"/>
        <w:numPr>
          <w:ilvl w:val="0"/>
          <w:numId w:val="18"/>
        </w:numPr>
        <w:spacing w:after="0"/>
      </w:pPr>
      <w:r w:rsidRPr="00F54C45">
        <w:t>Share knowledge about gender equality and diversity in the various dimensions of the IPT and incorporate gender equality and diversity in the training of academics, researchers and support staff;</w:t>
      </w:r>
    </w:p>
    <w:p w14:paraId="26803ADF" w14:textId="0468818B" w:rsidR="00A7475D" w:rsidRPr="00F54C45" w:rsidRDefault="00177885" w:rsidP="00027396">
      <w:pPr>
        <w:pStyle w:val="PargrafodaLista"/>
        <w:numPr>
          <w:ilvl w:val="0"/>
          <w:numId w:val="18"/>
        </w:numPr>
        <w:spacing w:after="0"/>
      </w:pPr>
      <w:r w:rsidRPr="00F54C45">
        <w:t xml:space="preserve">Incorporate gender-sensitive practices, processes and procedures, removing barriers to equal participation of all genders in research and decision-making; </w:t>
      </w:r>
    </w:p>
    <w:p w14:paraId="205F34B0" w14:textId="7B0EB0A9" w:rsidR="00A7475D" w:rsidRPr="00F54C45" w:rsidRDefault="007C2076" w:rsidP="00027396">
      <w:pPr>
        <w:pStyle w:val="PargrafodaLista"/>
        <w:numPr>
          <w:ilvl w:val="0"/>
          <w:numId w:val="18"/>
        </w:numPr>
        <w:spacing w:after="0"/>
      </w:pPr>
      <w:r w:rsidRPr="00F54C45">
        <w:t>Combat all forms of sexual and moral harassment at IPT.</w:t>
      </w:r>
    </w:p>
    <w:p w14:paraId="589F1539" w14:textId="77777777" w:rsidR="00177885" w:rsidRPr="00F54C45" w:rsidRDefault="00177885" w:rsidP="00027396">
      <w:pPr>
        <w:spacing w:after="0"/>
      </w:pPr>
    </w:p>
    <w:p w14:paraId="655E2D70" w14:textId="4B2D01A1" w:rsidR="00033510" w:rsidRPr="00F54C45" w:rsidRDefault="008523B3" w:rsidP="00027396">
      <w:pPr>
        <w:spacing w:after="0"/>
      </w:pPr>
      <w:r w:rsidRPr="00F54C45">
        <w:t>With this plan, IPT not only commits to the Sustainable Development Goals</w:t>
      </w:r>
      <w:r w:rsidR="00027396" w:rsidRPr="00F54C45">
        <w:t>,</w:t>
      </w:r>
      <w:r w:rsidRPr="00F54C45">
        <w:t xml:space="preserve"> but also seeks to build a more sustainable and inclusive future through the actions proposed in this plan. </w:t>
      </w:r>
    </w:p>
    <w:p w14:paraId="3C747045" w14:textId="77777777" w:rsidR="00E7524A" w:rsidRPr="00F54C45" w:rsidRDefault="00E7524A" w:rsidP="00027396">
      <w:pPr>
        <w:spacing w:after="0"/>
      </w:pPr>
    </w:p>
    <w:p w14:paraId="450811E5" w14:textId="33198484" w:rsidR="00BB0938" w:rsidRPr="00F54C45" w:rsidRDefault="00027396" w:rsidP="00027396">
      <w:pPr>
        <w:pStyle w:val="Ttulo1"/>
        <w:spacing w:after="0"/>
        <w:rPr>
          <w:lang w:val="pt-PT"/>
        </w:rPr>
      </w:pPr>
      <w:r w:rsidRPr="00F54C45">
        <w:rPr>
          <w:lang w:val="pt-PT"/>
        </w:rPr>
        <w:lastRenderedPageBreak/>
        <w:t>Background</w:t>
      </w:r>
    </w:p>
    <w:p w14:paraId="3CB18653" w14:textId="16F32A12" w:rsidR="00027396" w:rsidRPr="00F54C45" w:rsidRDefault="00027396" w:rsidP="00027396">
      <w:pPr>
        <w:spacing w:after="0"/>
      </w:pPr>
      <w:r w:rsidRPr="00F54C45">
        <w:t>Equality between women and men, or gender equality, means equal rights and freedoms as well as equal opportunities to participate, recognise and value women and men</w:t>
      </w:r>
      <w:r w:rsidR="00D434DA" w:rsidRPr="00F54C45">
        <w:t xml:space="preserve"> </w:t>
      </w:r>
      <w:r w:rsidRPr="00F54C45">
        <w:t>in all areas of society</w:t>
      </w:r>
      <w:r w:rsidR="00D434DA" w:rsidRPr="00F54C45">
        <w:t>:</w:t>
      </w:r>
      <w:r w:rsidRPr="00F54C45">
        <w:t xml:space="preserve"> political, economic, professional, personal and family.</w:t>
      </w:r>
    </w:p>
    <w:p w14:paraId="5B48EDF3" w14:textId="77777777" w:rsidR="00485FAC" w:rsidRPr="00F54C45" w:rsidRDefault="005A019C" w:rsidP="003E32A9">
      <w:r w:rsidRPr="00F54C45">
        <w:t>This is established in various national, European and international laws and guidelines which regulate their integration into the various spheres of society, in order to ensure the legal protection of women and men and access to equal opportunities for all.</w:t>
      </w:r>
    </w:p>
    <w:p w14:paraId="28486F5E" w14:textId="07D396B2" w:rsidR="005A019C" w:rsidRPr="00F54C45" w:rsidRDefault="005A019C" w:rsidP="003E32A9">
      <w:r w:rsidRPr="00F54C45">
        <w:t>At national level, the promotion of equality between women and men is broadly grounded in the Constitution of the Portuguese Republic being recognised as one of the fundamental tasks of the State (art. 9). According to art. 13 on the principle of equality, all citizens have the same social dignity and are equal before the law. No one shall be privileged, favoured, prejudiced, deprived of any right or exempted from any duty because of ancestry, sex, race, language, territory of origin, religion, political or ideological beliefs, education, economic situation, social condition or sexual orientation. Other articles underpin the promotion of equality in our Constitution: Article 26 (Other personal rights), Article 36 (Family, marriage and filiation), Article 47 (Freedom of choice of profession and access to public service), Article 48 (Participation in public life), Article 49 (Right to vote), Article 58 (Right to work), Article 59 (Workers' rights); Article 67 (Family), Article 68 (Paternity and maternity), Article 74 (Education) and Article 109 (Political participation of citizens).</w:t>
      </w:r>
    </w:p>
    <w:p w14:paraId="014E27F5" w14:textId="77777777" w:rsidR="006F6DB9" w:rsidRPr="00F54C45" w:rsidRDefault="005A019C" w:rsidP="006C1EF2">
      <w:r w:rsidRPr="00F54C45">
        <w:t xml:space="preserve">The National Strategy for Equality and Non-Discrimination 2018-2030 established by Resolution of the Council of Ministers No. 61/2018 and coordinated by the Commission for Citizenship and Gender Equality (CIG) advocates the elimination of stereotypes in three action plans - Action Plan for Equality between men and women, Action Plan for the Prevention and </w:t>
      </w:r>
      <w:r w:rsidR="00F93810" w:rsidRPr="00F54C45">
        <w:t>Reduction</w:t>
      </w:r>
      <w:r w:rsidRPr="00F54C45">
        <w:t xml:space="preserve"> of Domestic Violence and Action Plan to </w:t>
      </w:r>
      <w:r w:rsidR="00F93810" w:rsidRPr="00F54C45">
        <w:t>Tackle</w:t>
      </w:r>
      <w:r w:rsidRPr="00F54C45">
        <w:t xml:space="preserve"> Discrimination on the grounds of sexual orientation, gender identity and expression and sexual characteristic</w:t>
      </w:r>
      <w:r w:rsidR="00F93810" w:rsidRPr="00F54C45">
        <w:t>s.</w:t>
      </w:r>
    </w:p>
    <w:p w14:paraId="7AC3BD7A" w14:textId="5338D2B1" w:rsidR="00F93810" w:rsidRPr="00F54C45" w:rsidRDefault="00F93810" w:rsidP="006C1EF2">
      <w:r w:rsidRPr="00F54C45">
        <w:t xml:space="preserve">At the international level, the promotion of gender equality has been </w:t>
      </w:r>
      <w:r w:rsidR="00C80C9A" w:rsidRPr="00F54C45">
        <w:t>enshrined</w:t>
      </w:r>
      <w:r w:rsidRPr="00F54C45">
        <w:t xml:space="preserve"> </w:t>
      </w:r>
      <w:r w:rsidR="00C80C9A" w:rsidRPr="00F54C45">
        <w:t xml:space="preserve">in  </w:t>
      </w:r>
      <w:r w:rsidR="00DF5E47" w:rsidRPr="00F54C45">
        <w:t xml:space="preserve"> </w:t>
      </w:r>
      <w:r w:rsidR="005C77D3" w:rsidRPr="00F54C45">
        <w:t xml:space="preserve">benchmark </w:t>
      </w:r>
      <w:r w:rsidR="00DF5E47" w:rsidRPr="00F54C45">
        <w:t xml:space="preserve"> </w:t>
      </w:r>
      <w:r w:rsidR="005C77D3" w:rsidRPr="00F54C45">
        <w:t xml:space="preserve">documents </w:t>
      </w:r>
      <w:r w:rsidRPr="00F54C45">
        <w:t>which we will refer to in chronological order.</w:t>
      </w:r>
    </w:p>
    <w:p w14:paraId="6A2FF99D" w14:textId="41FF877A" w:rsidR="00D434DA" w:rsidRPr="00F54C45" w:rsidRDefault="00D434DA" w:rsidP="006C1EF2">
      <w:bookmarkStart w:id="2" w:name="_Hlk93690159"/>
      <w:r w:rsidRPr="00F54C45">
        <w:lastRenderedPageBreak/>
        <w:t xml:space="preserve">The Convention on the Elimination of All Forms of Discrimination against Women (1979) approved by the UN Assembly is a </w:t>
      </w:r>
      <w:r w:rsidR="006F6DB9" w:rsidRPr="00F54C45">
        <w:t xml:space="preserve">key </w:t>
      </w:r>
      <w:r w:rsidRPr="00F54C45">
        <w:t>instrument that reinforces the principle of equality between women and men. Portugal ratified this Convention in 1980. The CEDAW Convention is one of the major human rights treaties and is often referred to as the Magna Carta of Women's Rights or the Charter of Women's Human Rights.</w:t>
      </w:r>
    </w:p>
    <w:bookmarkEnd w:id="2"/>
    <w:p w14:paraId="1DCB1BEE" w14:textId="3A81C915" w:rsidR="00D434DA" w:rsidRPr="00F54C45" w:rsidRDefault="00D434DA" w:rsidP="006C1EF2">
      <w:pPr>
        <w:rPr>
          <w:lang w:val="pt-PT"/>
        </w:rPr>
      </w:pPr>
      <w:r w:rsidRPr="00F54C45">
        <w:t xml:space="preserve">The UN International Conference on Human Rights (1993) </w:t>
      </w:r>
      <w:r w:rsidR="006F6DB9" w:rsidRPr="00F54C45">
        <w:t>acknowledges</w:t>
      </w:r>
      <w:r w:rsidRPr="00F54C45">
        <w:t xml:space="preserve"> that "The human rights of women and the girl-child are an inalienable, integral and indivisible part of universal human rights" (Vienna Declaration and Programme of Action, 1993, para. </w:t>
      </w:r>
      <w:r w:rsidRPr="00F54C45">
        <w:rPr>
          <w:lang w:val="pt-PT"/>
        </w:rPr>
        <w:t>18).</w:t>
      </w:r>
    </w:p>
    <w:p w14:paraId="12EA6491" w14:textId="34948BA2" w:rsidR="00740A61" w:rsidRPr="00F54C45" w:rsidRDefault="00D434DA" w:rsidP="006C1EF2">
      <w:r w:rsidRPr="00F54C45">
        <w:t>The U</w:t>
      </w:r>
      <w:r w:rsidR="006F6DB9" w:rsidRPr="00F54C45">
        <w:t>N</w:t>
      </w:r>
      <w:r w:rsidRPr="00F54C45">
        <w:t xml:space="preserve"> Fourth World Conference on Women (1995) - Beijing Platform for Action - established a set of resolutions </w:t>
      </w:r>
      <w:r w:rsidR="00323A71" w:rsidRPr="00F54C45">
        <w:t>in</w:t>
      </w:r>
      <w:r w:rsidRPr="00F54C45">
        <w:t xml:space="preserve"> 12 areas for action </w:t>
      </w:r>
      <w:r w:rsidR="00323A71" w:rsidRPr="00F54C45">
        <w:t>such as</w:t>
      </w:r>
      <w:r w:rsidRPr="00F54C45">
        <w:t xml:space="preserve"> employment, health,</w:t>
      </w:r>
      <w:r w:rsidR="00740A61" w:rsidRPr="00F54C45">
        <w:t xml:space="preserve"> </w:t>
      </w:r>
      <w:r w:rsidRPr="00F54C45">
        <w:t>education, security, migrat</w:t>
      </w:r>
      <w:r w:rsidR="00740A61" w:rsidRPr="00F54C45">
        <w:t>ion</w:t>
      </w:r>
      <w:r w:rsidRPr="00F54C45">
        <w:t>, violence against women, prostitution, development, environment, among others, which called on the States to integrate gender equality in the</w:t>
      </w:r>
      <w:r w:rsidR="006F6DB9" w:rsidRPr="00F54C45">
        <w:t xml:space="preserve"> design</w:t>
      </w:r>
      <w:r w:rsidRPr="00F54C45">
        <w:t xml:space="preserve">, implementation and evaluation of all policies and actions in </w:t>
      </w:r>
      <w:r w:rsidR="00323A71" w:rsidRPr="00F54C45">
        <w:t>the so-</w:t>
      </w:r>
      <w:r w:rsidRPr="00F54C45">
        <w:t>called gender mainstreaming strategy.</w:t>
      </w:r>
      <w:r w:rsidR="006F6DB9" w:rsidRPr="00F54C45">
        <w:t xml:space="preserve"> </w:t>
      </w:r>
      <w:r w:rsidR="00740A61" w:rsidRPr="00F54C45">
        <w:t>The UN adopted the 2030 Agenda and sets out the 17 Sustainable Development Goals (SDGs). The gender dimension is considered to be crosscutting throughout the Agenda and constitutes the 5th SDG "Achieve gender equality and the empowerment of all women and girls" (UN, 2015).</w:t>
      </w:r>
    </w:p>
    <w:p w14:paraId="24DA4043" w14:textId="41BD8CE2" w:rsidR="009C30FC" w:rsidRPr="00F54C45" w:rsidRDefault="009C30FC" w:rsidP="006C1EF2">
      <w:r w:rsidRPr="00F54C45">
        <w:t xml:space="preserve">Equality between women and men is also one of the European Union's </w:t>
      </w:r>
      <w:r w:rsidR="009E24C2" w:rsidRPr="00F54C45">
        <w:t>goals</w:t>
      </w:r>
      <w:r w:rsidRPr="00F54C45">
        <w:t xml:space="preserve">. Indeed, since 1957 the European treaties have enshrined the principle of equality between women and men in all areas, including employment, work, pay (Articles 153 and 157 TFEU) combating all forms of discrimination including on grounds of gender (Article 19 TFEU), combating </w:t>
      </w:r>
      <w:r w:rsidR="009E24C2" w:rsidRPr="00F54C45">
        <w:t xml:space="preserve">human </w:t>
      </w:r>
      <w:r w:rsidRPr="00F54C45">
        <w:t>trafficking, in particular women and children (Articles 79 and 83 TFEU) and eradicating violence against women (Article 168 TFEU).</w:t>
      </w:r>
    </w:p>
    <w:p w14:paraId="6A8B2DBD" w14:textId="638B7585" w:rsidR="009E24C2" w:rsidRPr="00F54C45" w:rsidRDefault="009E24C2" w:rsidP="006C1EF2">
      <w:r w:rsidRPr="00F54C45">
        <w:t xml:space="preserve">The Treaty of Amsterdam (1997) reinforces the principle of non-discrimination </w:t>
      </w:r>
      <w:r w:rsidR="006F6DB9" w:rsidRPr="00F54C45">
        <w:t>acknowledging</w:t>
      </w:r>
      <w:r w:rsidRPr="00F54C45">
        <w:t xml:space="preserve"> in Article 3 equality between women and men as one of the government’s tasks. In article 13 the Commission is given the right to take initiatives with a view to combating all forms of negative discrimination, particularly those based on sex, race or ethnic origin, religion or beliefs, disabilities, age or sexual orientation and, on the other hand, to encourage the implementation of positive action measures </w:t>
      </w:r>
      <w:r w:rsidRPr="00F54C45">
        <w:lastRenderedPageBreak/>
        <w:t>to create opportunities for</w:t>
      </w:r>
      <w:r w:rsidR="006F6DB9" w:rsidRPr="00F54C45">
        <w:t xml:space="preserve"> </w:t>
      </w:r>
      <w:r w:rsidRPr="00F54C45">
        <w:t>workers who are disadvantaged for cultural or social reasons or for reasons of prejudice or tradition.</w:t>
      </w:r>
    </w:p>
    <w:p w14:paraId="09595015" w14:textId="03BD7210" w:rsidR="00300D65" w:rsidRPr="00F54C45" w:rsidRDefault="009E24C2" w:rsidP="006C1EF2">
      <w:r w:rsidRPr="00F54C45">
        <w:t>The European Charter of Fundamental Rights of the European Union also includes the principle of equality between women and men. Article 23 provides that "Equality between men and women must be ensured in all areas including employment, work and remuneration" but also that "The principle of equality shall not prevent the maintenance or adoption of measures providing for specific advantages in favour of the under-represented sex". Article 23 provides for the right to reconcile family and professional life.</w:t>
      </w:r>
      <w:r w:rsidR="005C77D3" w:rsidRPr="00F54C45">
        <w:t xml:space="preserve"> </w:t>
      </w:r>
      <w:r w:rsidR="00D22877" w:rsidRPr="00F54C45">
        <w:t xml:space="preserve">Another important European </w:t>
      </w:r>
      <w:r w:rsidR="005C77D3" w:rsidRPr="00F54C45">
        <w:t>benchmark</w:t>
      </w:r>
      <w:r w:rsidR="00D22877" w:rsidRPr="00F54C45">
        <w:t xml:space="preserve"> is the European Pact for Gender Equality endorsed by the Brussels European Council in 2006.</w:t>
      </w:r>
      <w:r w:rsidR="005C77D3" w:rsidRPr="00F54C45">
        <w:t xml:space="preserve"> </w:t>
      </w:r>
      <w:r w:rsidR="00300D65" w:rsidRPr="00F54C45">
        <w:t>There are also several European regulations, directives, decisions, recommendations and resolutions designed to promote equal opportunities between women and men and the reconciliation of professional and personal life.</w:t>
      </w:r>
    </w:p>
    <w:p w14:paraId="77B0D51E" w14:textId="5FB611D7" w:rsidR="00952B3F" w:rsidRPr="00F54C45" w:rsidRDefault="005C77D3" w:rsidP="003E32A9">
      <w:r w:rsidRPr="00F54C45">
        <w:t>G</w:t>
      </w:r>
      <w:r w:rsidR="00952B3F" w:rsidRPr="00F54C45">
        <w:t xml:space="preserve">ender equality </w:t>
      </w:r>
      <w:r w:rsidRPr="00F54C45">
        <w:t xml:space="preserve">promotion </w:t>
      </w:r>
      <w:r w:rsidR="00952B3F" w:rsidRPr="00F54C45">
        <w:t>is currently understood not only as a human rights issue, but also as an issue of peace, social justice and as a key sustainable development principle.</w:t>
      </w:r>
    </w:p>
    <w:p w14:paraId="7CB20FAA" w14:textId="10CC5CDE" w:rsidR="00952B3F" w:rsidRPr="00F54C45" w:rsidRDefault="00952B3F" w:rsidP="003E32A9">
      <w:r w:rsidRPr="00F54C45">
        <w:t>In this sense, governments and state bodies as well as all employees in public service have an obligation to work actively to promote equality between women and men. The promotion of equality should be taken into consideration in all aspects of political and public decision-making.</w:t>
      </w:r>
    </w:p>
    <w:p w14:paraId="651DC303" w14:textId="22D154E9" w:rsidR="00952B3F" w:rsidRPr="00F54C45" w:rsidRDefault="00952B3F" w:rsidP="00952B3F">
      <w:r w:rsidRPr="00F54C45">
        <w:t>According to the European Commission, although on average in the EU women achieve higher levels of education than men, there are still gaps in some scientific fields of study which often allow access to better paid jobs. If women access these jobs, it will boost the economy, improve competition and productivity. However, the percentage of women in science, engineering, manufacturing, construction and ICT courses is still very low. There are still professions that tend to be female-dominated and others that tend to be male-dominated. It is necessary to encourage women to choose careers in male-dominated areas and to encourage men to choose careers in female-dominated areas that lack qualified workers.</w:t>
      </w:r>
    </w:p>
    <w:p w14:paraId="5C7B53B3" w14:textId="7158A1A7" w:rsidR="00952B3F" w:rsidRPr="00F54C45" w:rsidRDefault="00952B3F" w:rsidP="003E32A9">
      <w:r w:rsidRPr="00F54C45">
        <w:lastRenderedPageBreak/>
        <w:t>Although the number of women with higher education qualifications is higher than that of men, women are still underrepresented in decision-making positions in higher education. With regard to the presence of women in the research sector, there have been positive developments, although significant inequalities still exist.</w:t>
      </w:r>
    </w:p>
    <w:p w14:paraId="20BFCC86" w14:textId="3EC4383C" w:rsidR="00735349" w:rsidRPr="00F54C45" w:rsidRDefault="00735349" w:rsidP="003E32A9">
      <w:r w:rsidRPr="00F54C45">
        <w:t>The growing participation of women in the labour market has not been accompanied by a corresponding growth in men's participation in family life. Women continue to be primarily responsible for carrying out domestic tasks and providing care for the family and there is a difference in the participation and use of time between women and men with regard to family life. This will contribute to a worsening of the living conditions of female workers who will see an exponential increase in the difficulties in reconciling their personal and professional lives.</w:t>
      </w:r>
    </w:p>
    <w:p w14:paraId="5163C76C" w14:textId="73DD8A69" w:rsidR="00735349" w:rsidRPr="00F54C45" w:rsidRDefault="00735349" w:rsidP="003E32A9">
      <w:r w:rsidRPr="00F54C45">
        <w:t>With regard to paid work, women still occupy an unequal position, namely due to the difficulty in time management which stems from the social demands imposed on them in caring for the family.</w:t>
      </w:r>
    </w:p>
    <w:p w14:paraId="223AFC75" w14:textId="77777777" w:rsidR="00D73C07" w:rsidRPr="00F54C45" w:rsidRDefault="00E149F1" w:rsidP="003E32A9">
      <w:r w:rsidRPr="00F54C45">
        <w:t>In the pursuit of their careers in higher education, women continue to be faced with more obstacles than men due to the demands of family support that still fall mainly on them, making it more demanding for them to reconcile family and professional life.</w:t>
      </w:r>
      <w:r w:rsidR="00D73C07" w:rsidRPr="00F54C45">
        <w:t xml:space="preserve"> </w:t>
      </w:r>
    </w:p>
    <w:p w14:paraId="10CB98D9" w14:textId="6801A59A" w:rsidR="00E149F1" w:rsidRPr="00F54C45" w:rsidRDefault="00E149F1" w:rsidP="003E32A9">
      <w:r w:rsidRPr="00F54C45">
        <w:t>It should be noted that it is women who make most use of the instruments available for reconciling family and professional life such as reduced working hours, career breaks and parental leave.</w:t>
      </w:r>
    </w:p>
    <w:p w14:paraId="1676072F" w14:textId="4895B937" w:rsidR="00E149F1" w:rsidRPr="00F54C45" w:rsidRDefault="00E149F1" w:rsidP="003E32A9">
      <w:r w:rsidRPr="00F54C45">
        <w:t>Although in recent years inequalities have been decreasing, there is still a long way to go to make gender equality a reality. The promotion of gender equality is a responsibility of the Public Administration. As such, in our opinion, Higher Education should play an essential role in the elimination and/or minimisation of these inequalities, raising awareness and educating for these issues and promoting gender equality in its community. That is the commitment we make with this equality plan of the IPT.</w:t>
      </w:r>
    </w:p>
    <w:p w14:paraId="527651A5" w14:textId="172A05F3" w:rsidR="002B38AE" w:rsidRPr="00F54C45" w:rsidRDefault="002B38AE" w:rsidP="00E7524A">
      <w:pPr>
        <w:pStyle w:val="Ttulo1"/>
        <w:rPr>
          <w:lang w:val="pt-PT"/>
        </w:rPr>
      </w:pPr>
      <w:bookmarkStart w:id="3" w:name="_Toc94537407"/>
      <w:r w:rsidRPr="00F54C45">
        <w:rPr>
          <w:lang w:val="pt-PT"/>
        </w:rPr>
        <w:lastRenderedPageBreak/>
        <w:t>Methodology</w:t>
      </w:r>
      <w:bookmarkEnd w:id="3"/>
      <w:r w:rsidRPr="00F54C45">
        <w:rPr>
          <w:lang w:val="pt-PT"/>
        </w:rPr>
        <w:t xml:space="preserve"> </w:t>
      </w:r>
    </w:p>
    <w:p w14:paraId="70817F56" w14:textId="4ACD1303" w:rsidR="000F1494" w:rsidRPr="00F54C45" w:rsidRDefault="000F1494" w:rsidP="003E32A9">
      <w:r w:rsidRPr="00F54C45">
        <w:t>The Equality plan of IPT was built with reference to the GEAR tool (Gender Equality in Academia and Research)</w:t>
      </w:r>
      <w:r w:rsidR="00D73C07" w:rsidRPr="00F54C45">
        <w:rPr>
          <w:rStyle w:val="Refdenotaderodap"/>
          <w:i/>
          <w:iCs/>
        </w:rPr>
        <w:t xml:space="preserve"> </w:t>
      </w:r>
      <w:r w:rsidR="00D73C07" w:rsidRPr="00F54C45">
        <w:rPr>
          <w:rStyle w:val="Refdenotaderodap"/>
          <w:i/>
          <w:iCs/>
        </w:rPr>
        <w:footnoteReference w:id="1"/>
      </w:r>
      <w:r w:rsidRPr="00F54C45">
        <w:t>, the SAGE Wheel Toolkit and the steps established therein for the preparation of equality plans in higher education institutions.</w:t>
      </w:r>
    </w:p>
    <w:p w14:paraId="4F3DFAFD" w14:textId="02FBCD1E" w:rsidR="000F1494" w:rsidRPr="00F54C45" w:rsidRDefault="000F1494" w:rsidP="006C1EF2">
      <w:r w:rsidRPr="00F54C45">
        <w:t>Firstly, a bibliographic review of national, European and international legislation and policies on gender equality and non-discrimination was carried out, more precisely those specific to the areas of research and/or higher education.</w:t>
      </w:r>
    </w:p>
    <w:p w14:paraId="20577508" w14:textId="0054EC6A" w:rsidR="005A313B" w:rsidRPr="00F54C45" w:rsidRDefault="000F1494" w:rsidP="006C1EF2">
      <w:r w:rsidRPr="00F54C45">
        <w:t>Then, in order to understand the reality in the IPT regarding equal opportunities for the different genders, an internal survey was carried out to determine which measures should be implemented according to the typology and context of the IPT and aligned with the legislation and national, European and international policies.</w:t>
      </w:r>
    </w:p>
    <w:p w14:paraId="6AF8AB88" w14:textId="4F73963D" w:rsidR="000F1494" w:rsidRPr="00F54C45" w:rsidRDefault="000F1494" w:rsidP="006C1EF2">
      <w:r w:rsidRPr="00F54C45">
        <w:t>The internal survey consisted of the following steps and the application of the following diagnostic tools:</w:t>
      </w:r>
    </w:p>
    <w:p w14:paraId="58212174" w14:textId="457C710B" w:rsidR="00CB00FE" w:rsidRPr="00F54C45" w:rsidRDefault="00CB00FE" w:rsidP="006C1EF2">
      <w:pPr>
        <w:rPr>
          <w:lang w:val="pt-PT"/>
        </w:rPr>
      </w:pPr>
      <w:r w:rsidRPr="00F54C45">
        <w:rPr>
          <w:b/>
          <w:bCs/>
          <w:lang w:val="pt-PT"/>
        </w:rPr>
        <w:t xml:space="preserve">1.ª Etapa: </w:t>
      </w:r>
      <w:r w:rsidRPr="00F54C45">
        <w:rPr>
          <w:lang w:val="pt-PT"/>
        </w:rPr>
        <w:t>Foram analisados dados desagregados por sexo sobre docentes, funcionários/as não-docentes e estudantes, respeitantes aos últimos 3 anos (2018, 2019, 2020), tais como:</w:t>
      </w:r>
    </w:p>
    <w:p w14:paraId="520984BE" w14:textId="777AC372" w:rsidR="005A313B" w:rsidRPr="00F54C45" w:rsidRDefault="005A313B" w:rsidP="006C1EF2">
      <w:r w:rsidRPr="00F54C45">
        <w:rPr>
          <w:b/>
          <w:bCs/>
        </w:rPr>
        <w:t>Stage 1</w:t>
      </w:r>
      <w:r w:rsidRPr="00F54C45">
        <w:t xml:space="preserve">: Gender disaggregated data on teaching, non-teaching staff and students were analysed for the last 3 years (2018, 2019, 2020) such as:   </w:t>
      </w:r>
    </w:p>
    <w:p w14:paraId="2C477CD5" w14:textId="77777777" w:rsidR="00F72B9E" w:rsidRPr="00F54C45" w:rsidRDefault="00F72B9E" w:rsidP="00F72B9E">
      <w:pPr>
        <w:pStyle w:val="PargrafodaLista"/>
        <w:numPr>
          <w:ilvl w:val="0"/>
          <w:numId w:val="19"/>
        </w:numPr>
      </w:pPr>
      <w:r w:rsidRPr="00F54C45">
        <w:t>Distribution of governing bodies according to gender;</w:t>
      </w:r>
    </w:p>
    <w:p w14:paraId="4D8CD27E" w14:textId="77777777" w:rsidR="00F72B9E" w:rsidRPr="00F54C45" w:rsidRDefault="00F72B9E" w:rsidP="00F72B9E">
      <w:pPr>
        <w:pStyle w:val="PargrafodaLista"/>
        <w:numPr>
          <w:ilvl w:val="0"/>
          <w:numId w:val="19"/>
        </w:numPr>
      </w:pPr>
      <w:r w:rsidRPr="00F54C45">
        <w:t>Number of employees, non-teaching and teaching staff by professional category, type of contract and by gender;</w:t>
      </w:r>
    </w:p>
    <w:p w14:paraId="2E7400D2" w14:textId="77777777" w:rsidR="00F72B9E" w:rsidRPr="00F54C45" w:rsidRDefault="00F72B9E" w:rsidP="00F72B9E">
      <w:pPr>
        <w:pStyle w:val="PargrafodaLista"/>
        <w:numPr>
          <w:ilvl w:val="0"/>
          <w:numId w:val="19"/>
        </w:numPr>
      </w:pPr>
      <w:r w:rsidRPr="00F54C45">
        <w:t>Composition of the academic and research staff by gender;</w:t>
      </w:r>
    </w:p>
    <w:p w14:paraId="335031FC" w14:textId="06220B99" w:rsidR="00F72B9E" w:rsidRPr="00F54C45" w:rsidRDefault="00F72B9E" w:rsidP="00F72B9E">
      <w:pPr>
        <w:pStyle w:val="PargrafodaLista"/>
        <w:numPr>
          <w:ilvl w:val="0"/>
          <w:numId w:val="19"/>
        </w:numPr>
      </w:pPr>
      <w:r w:rsidRPr="00F54C45">
        <w:lastRenderedPageBreak/>
        <w:t xml:space="preserve">Recruitment and termination of service </w:t>
      </w:r>
      <w:r w:rsidR="00D73C07" w:rsidRPr="00F54C45">
        <w:t>of employees,</w:t>
      </w:r>
      <w:r w:rsidRPr="00F54C45">
        <w:t xml:space="preserve"> </w:t>
      </w:r>
      <w:r w:rsidR="00D73C07" w:rsidRPr="00F54C45">
        <w:t>technical</w:t>
      </w:r>
      <w:r w:rsidRPr="00F54C45">
        <w:t xml:space="preserve"> and teaching staff by gender;</w:t>
      </w:r>
    </w:p>
    <w:p w14:paraId="269A6525" w14:textId="6C8BA3C3" w:rsidR="00F72B9E" w:rsidRPr="00F54C45" w:rsidRDefault="00F72B9E" w:rsidP="00F72B9E">
      <w:pPr>
        <w:pStyle w:val="PargrafodaLista"/>
        <w:numPr>
          <w:ilvl w:val="0"/>
          <w:numId w:val="19"/>
        </w:numPr>
      </w:pPr>
      <w:r w:rsidRPr="00F54C45">
        <w:t xml:space="preserve">Number and type of leave taken by </w:t>
      </w:r>
      <w:r w:rsidR="00D73C07" w:rsidRPr="00F54C45">
        <w:t>employees, technical and teaching</w:t>
      </w:r>
      <w:r w:rsidR="00D73C07" w:rsidRPr="00F54C45">
        <w:t xml:space="preserve"> staff</w:t>
      </w:r>
      <w:r w:rsidRPr="00F54C45">
        <w:t xml:space="preserve"> by professional category and by gender;</w:t>
      </w:r>
    </w:p>
    <w:p w14:paraId="0C26F2B1" w14:textId="4720FB36" w:rsidR="00F72B9E" w:rsidRPr="00F54C45" w:rsidRDefault="00F72B9E" w:rsidP="00F72B9E">
      <w:pPr>
        <w:pStyle w:val="PargrafodaLista"/>
        <w:numPr>
          <w:ilvl w:val="0"/>
          <w:numId w:val="19"/>
        </w:numPr>
      </w:pPr>
      <w:r w:rsidRPr="00F54C45">
        <w:t>Number of parental leave taken by c</w:t>
      </w:r>
      <w:r w:rsidR="00D73C07" w:rsidRPr="00F54C45">
        <w:t xml:space="preserve"> </w:t>
      </w:r>
      <w:r w:rsidR="00D73C07" w:rsidRPr="00F54C45">
        <w:t>employees, technical and teaching</w:t>
      </w:r>
      <w:r w:rsidR="00D73C07" w:rsidRPr="00F54C45">
        <w:t xml:space="preserve"> staff</w:t>
      </w:r>
      <w:r w:rsidRPr="00F54C45">
        <w:t xml:space="preserve"> and the respective return by professional category and gender;</w:t>
      </w:r>
    </w:p>
    <w:p w14:paraId="4D393742" w14:textId="77777777" w:rsidR="00F72B9E" w:rsidRPr="00F54C45" w:rsidRDefault="00F72B9E" w:rsidP="00F72B9E">
      <w:pPr>
        <w:pStyle w:val="PargrafodaLista"/>
        <w:numPr>
          <w:ilvl w:val="0"/>
          <w:numId w:val="19"/>
        </w:numPr>
      </w:pPr>
      <w:r w:rsidRPr="00F54C45">
        <w:t>External funding, research scholarships and success rates by gender;</w:t>
      </w:r>
    </w:p>
    <w:p w14:paraId="26C4DB35" w14:textId="4F66FCAE" w:rsidR="00F72B9E" w:rsidRPr="00F54C45" w:rsidRDefault="00F72B9E" w:rsidP="00F72B9E">
      <w:pPr>
        <w:pStyle w:val="PargrafodaLista"/>
        <w:numPr>
          <w:ilvl w:val="0"/>
          <w:numId w:val="19"/>
        </w:numPr>
      </w:pPr>
      <w:r w:rsidRPr="00F54C45">
        <w:t>Number of students by gender in each course.</w:t>
      </w:r>
    </w:p>
    <w:p w14:paraId="174DA8C1" w14:textId="77777777" w:rsidR="00FD6B57" w:rsidRPr="00F54C45" w:rsidRDefault="00FD6B57" w:rsidP="006C1EF2">
      <w:pPr>
        <w:pStyle w:val="PargrafodaLista"/>
      </w:pPr>
    </w:p>
    <w:p w14:paraId="32059AD4" w14:textId="0BA8CD3D" w:rsidR="00F72B9E" w:rsidRPr="00F54C45" w:rsidRDefault="00F72B9E" w:rsidP="006C1EF2">
      <w:r w:rsidRPr="00F54C45">
        <w:rPr>
          <w:b/>
          <w:bCs/>
        </w:rPr>
        <w:t>Stage 2</w:t>
      </w:r>
      <w:r w:rsidRPr="00F54C45">
        <w:t xml:space="preserve">: Through a good practice </w:t>
      </w:r>
      <w:r w:rsidR="00D73C07" w:rsidRPr="00F54C45">
        <w:t>survey</w:t>
      </w:r>
      <w:r w:rsidRPr="00F54C45">
        <w:t xml:space="preserve">, data was collected to identify existing measures to promote gender equality, namely with regard to: institutional governance, knowledge production, career progression and work-life balance.    </w:t>
      </w:r>
    </w:p>
    <w:p w14:paraId="781721C1" w14:textId="3777B6F3" w:rsidR="00F72B9E" w:rsidRPr="00F54C45" w:rsidRDefault="00F72B9E" w:rsidP="006C1EF2">
      <w:r w:rsidRPr="00F54C45">
        <w:rPr>
          <w:b/>
          <w:bCs/>
        </w:rPr>
        <w:t>Stage 3</w:t>
      </w:r>
      <w:r w:rsidRPr="00F54C45">
        <w:t>: Data collection and analysis through an online survey addressed to non-teaching staff and another to teaching staff, which aimed to analyse the current employment situation, career progression, work/life balance, level of satisfaction with the work environment, mobbing and harassment.</w:t>
      </w:r>
    </w:p>
    <w:p w14:paraId="3C30F0E1" w14:textId="36A939B9" w:rsidR="00F72B9E" w:rsidRPr="00F54C45" w:rsidRDefault="00F72B9E" w:rsidP="006C1EF2">
      <w:r w:rsidRPr="00F54C45">
        <w:t xml:space="preserve">Subsequently, based on the data collected during the internal consultation and its analysis (section 4), an action plan was prepared (section 5). The </w:t>
      </w:r>
      <w:r w:rsidR="00D73C07" w:rsidRPr="00F54C45">
        <w:t>Priority Areas</w:t>
      </w:r>
      <w:r w:rsidR="002717F3" w:rsidRPr="00F54C45">
        <w:t xml:space="preserve"> and</w:t>
      </w:r>
      <w:r w:rsidRPr="00F54C45">
        <w:t xml:space="preserve"> the </w:t>
      </w:r>
      <w:r w:rsidR="002717F3" w:rsidRPr="00F54C45">
        <w:t>goals</w:t>
      </w:r>
      <w:r w:rsidRPr="00F54C45">
        <w:t xml:space="preserve"> to be achieved were </w:t>
      </w:r>
      <w:r w:rsidR="002717F3" w:rsidRPr="00F54C45">
        <w:t>set out</w:t>
      </w:r>
      <w:r w:rsidRPr="00F54C45">
        <w:t xml:space="preserve">, as well as the activities to be developed, respective scheduling, monitoring and expected impacts.   </w:t>
      </w:r>
    </w:p>
    <w:p w14:paraId="246B06AC" w14:textId="4EB1410F" w:rsidR="001908F4" w:rsidRPr="00F54C45" w:rsidRDefault="001908F4" w:rsidP="006C1EF2"/>
    <w:p w14:paraId="2D3B5AC9" w14:textId="5E21BFDE" w:rsidR="00222FB4" w:rsidRPr="00F54C45" w:rsidRDefault="008D2623" w:rsidP="0008358A">
      <w:pPr>
        <w:pStyle w:val="Ttulo1"/>
        <w:rPr>
          <w:lang w:val="pt-PT"/>
        </w:rPr>
      </w:pPr>
      <w:bookmarkStart w:id="4" w:name="_Toc94537408"/>
      <w:r w:rsidRPr="00F54C45">
        <w:rPr>
          <w:lang w:val="pt-PT"/>
        </w:rPr>
        <w:lastRenderedPageBreak/>
        <w:t>I</w:t>
      </w:r>
      <w:r w:rsidR="00E91172" w:rsidRPr="00F54C45">
        <w:rPr>
          <w:lang w:val="pt-PT"/>
        </w:rPr>
        <w:t>nterna</w:t>
      </w:r>
      <w:r w:rsidRPr="00F54C45">
        <w:rPr>
          <w:lang w:val="pt-PT"/>
        </w:rPr>
        <w:t>l Survey</w:t>
      </w:r>
      <w:r w:rsidR="00E91172" w:rsidRPr="00F54C45">
        <w:rPr>
          <w:lang w:val="pt-PT"/>
        </w:rPr>
        <w:t>: an</w:t>
      </w:r>
      <w:bookmarkEnd w:id="4"/>
      <w:r w:rsidR="008319E3" w:rsidRPr="00F54C45">
        <w:rPr>
          <w:lang w:val="pt-PT"/>
        </w:rPr>
        <w:t>alysis and diagnostic</w:t>
      </w:r>
    </w:p>
    <w:p w14:paraId="30DE9F9F" w14:textId="77777777" w:rsidR="006D6FCE" w:rsidRPr="00F54C45" w:rsidRDefault="006D6FCE" w:rsidP="006D6FCE">
      <w:pPr>
        <w:rPr>
          <w:b/>
          <w:bCs/>
        </w:rPr>
      </w:pPr>
      <w:r w:rsidRPr="00F54C45">
        <w:t xml:space="preserve"> </w:t>
      </w:r>
      <w:r w:rsidRPr="00F54C45">
        <w:rPr>
          <w:b/>
          <w:bCs/>
        </w:rPr>
        <w:t xml:space="preserve">Policies and practices related to gender equality </w:t>
      </w:r>
    </w:p>
    <w:p w14:paraId="679E57A6" w14:textId="15926AC6" w:rsidR="006D6FCE" w:rsidRPr="00F54C45" w:rsidRDefault="006D6FCE" w:rsidP="006D6FCE">
      <w:r w:rsidRPr="00F54C45">
        <w:t>The diagnos</w:t>
      </w:r>
      <w:r w:rsidR="0008358A" w:rsidRPr="00F54C45">
        <w:t>tic</w:t>
      </w:r>
      <w:r w:rsidRPr="00F54C45">
        <w:t xml:space="preserve"> carried out, namely through the good practice</w:t>
      </w:r>
      <w:r w:rsidR="0008358A" w:rsidRPr="00F54C45">
        <w:t xml:space="preserve"> survey</w:t>
      </w:r>
      <w:r w:rsidRPr="00F54C45">
        <w:t xml:space="preserve">, revealed that there are no references to gender equality in the IPT's Strategic Plan and Mission. However, IPT’s values include the commitment to the principle of equal opportunities. There is also no equality policy. It was found that little attention is given to gender issues in the language and logos of IPT's official documents and there is no inclusive </w:t>
      </w:r>
      <w:r w:rsidR="0054087D" w:rsidRPr="00F54C45">
        <w:t>language handbook</w:t>
      </w:r>
      <w:r w:rsidRPr="00F54C45">
        <w:t xml:space="preserve">. </w:t>
      </w:r>
    </w:p>
    <w:p w14:paraId="29BA5394" w14:textId="77777777" w:rsidR="0008358A" w:rsidRPr="00F54C45" w:rsidRDefault="0008358A" w:rsidP="006C1EF2"/>
    <w:p w14:paraId="7F207872" w14:textId="29A7E99F" w:rsidR="00C95385" w:rsidRPr="00F54C45" w:rsidRDefault="00C95385" w:rsidP="006C1EF2">
      <w:pPr>
        <w:rPr>
          <w:rFonts w:asciiTheme="majorHAnsi" w:eastAsiaTheme="majorEastAsia" w:hAnsiTheme="majorHAnsi" w:cstheme="majorBidi"/>
          <w:b/>
          <w:bCs/>
          <w:sz w:val="26"/>
          <w:szCs w:val="26"/>
        </w:rPr>
      </w:pPr>
      <w:r w:rsidRPr="00F54C45">
        <w:rPr>
          <w:rFonts w:asciiTheme="majorHAnsi" w:eastAsiaTheme="majorEastAsia" w:hAnsiTheme="majorHAnsi" w:cstheme="majorBidi"/>
          <w:b/>
          <w:bCs/>
          <w:sz w:val="26"/>
          <w:szCs w:val="26"/>
        </w:rPr>
        <w:t xml:space="preserve">Governing bodies </w:t>
      </w:r>
    </w:p>
    <w:p w14:paraId="210688AB" w14:textId="0C53E9B8" w:rsidR="00C95385" w:rsidRPr="00F54C45" w:rsidRDefault="00C95385" w:rsidP="00C95385">
      <w:r w:rsidRPr="00F54C45">
        <w:t xml:space="preserve">The data </w:t>
      </w:r>
      <w:r w:rsidR="0008358A" w:rsidRPr="00F54C45">
        <w:t>disaggregated</w:t>
      </w:r>
      <w:r w:rsidRPr="00F54C45">
        <w:t xml:space="preserve"> by gender for the last three years (2018, 2019, 2020) allowed us to conclude that governing bodies were mostly occupied by men. However, there is a decreasing trend in the number of men in these positions in the triennium under review where the number of men was equal to 27, 26 and 25, respectively in 2018, 2019 and 2020, and in the case of women, an opposite increasing trend, more precisely 10 women in 2018, 14 in 2019 and 15 in 2020. </w:t>
      </w:r>
    </w:p>
    <w:p w14:paraId="40B7138C" w14:textId="42C95424" w:rsidR="00C95385" w:rsidRPr="00F54C45" w:rsidRDefault="00C95385" w:rsidP="006C1EF2">
      <w:r w:rsidRPr="00F54C45">
        <w:t xml:space="preserve">With regard to the composition of the Board, in the three years under review, the positions of President and Vice-President were always held by men and in 2018 no woman held a position in the Board, a situation that was reversed in the years 2019 and 2020 with the appointment of two women as </w:t>
      </w:r>
      <w:r w:rsidR="003C08B3" w:rsidRPr="00F54C45">
        <w:t>senior directors</w:t>
      </w:r>
      <w:r w:rsidRPr="00F54C45">
        <w:t>. In 2018, the Board was composed of 3 male and 2 female members.</w:t>
      </w:r>
    </w:p>
    <w:p w14:paraId="79C509DB" w14:textId="0C1BB2A9" w:rsidR="003C08B3" w:rsidRPr="00F54C45" w:rsidRDefault="003C08B3" w:rsidP="006C1EF2">
      <w:r w:rsidRPr="00F54C45">
        <w:t xml:space="preserve">Regarding the Management Committee, the body that conducts the </w:t>
      </w:r>
      <w:r w:rsidR="0008358A" w:rsidRPr="00F54C45">
        <w:t xml:space="preserve">institution’s </w:t>
      </w:r>
      <w:r w:rsidRPr="00F54C45">
        <w:t xml:space="preserve">administrative, accounting and financial management as well as human resources management, it has always been composed only of men throughout the three years </w:t>
      </w:r>
      <w:r w:rsidRPr="00F54C45">
        <w:lastRenderedPageBreak/>
        <w:t>under review. In 2018 the Management Committee was composed of 3 elements and in 2019 and 2020 by 4 elements.</w:t>
      </w:r>
    </w:p>
    <w:p w14:paraId="657B1B04" w14:textId="07A52604" w:rsidR="005A44B8" w:rsidRPr="00F54C45" w:rsidRDefault="005A44B8" w:rsidP="006C1EF2">
      <w:r w:rsidRPr="00F54C45">
        <w:t>The General Council is made up of 21 members. Of these 21 members, 14 are men and 7 are women. It was found that there is a decreasing trend in the number of men in the three years under review, i.e. 16, 15 and 14, respectively, in 2018, 2019 and 2020. Conversely, there was an increasing trend in the number of women, namely 5, 6 and 7, in 2018, 2019 and 2020, respectively, although the number of men is still frankly higher (about 67%).</w:t>
      </w:r>
    </w:p>
    <w:p w14:paraId="1607CD15" w14:textId="0102FCB6" w:rsidR="005A44B8" w:rsidRPr="00F54C45" w:rsidRDefault="005A44B8" w:rsidP="005A44B8">
      <w:r w:rsidRPr="00F54C45">
        <w:t xml:space="preserve">In what concerns the management board of the three IPT schools, two men were in charge of the School of Technology and School of Management at Tomar and one woman in the case of the School of Technology at Abrantes. </w:t>
      </w:r>
    </w:p>
    <w:p w14:paraId="01A0FFD0" w14:textId="44534FDB" w:rsidR="005A44B8" w:rsidRPr="00F54C45" w:rsidRDefault="005A44B8" w:rsidP="005A44B8">
      <w:r w:rsidRPr="00F54C45">
        <w:t>Regarding the three middle management positions in the IPT, they were always occupied by women and concern the Academic Services Division, the Human Resources Division and the Financial and Property Services Division.</w:t>
      </w:r>
    </w:p>
    <w:p w14:paraId="52575FA4" w14:textId="06F17C07" w:rsidR="00CB00FE" w:rsidRPr="00F54C45" w:rsidRDefault="005A44B8" w:rsidP="006C1EF2">
      <w:r w:rsidRPr="00F54C45">
        <w:t xml:space="preserve">On the other hand, the position of Student Ombudsman during the three-year period under review was always occupied by a man. </w:t>
      </w:r>
    </w:p>
    <w:p w14:paraId="02EF36D4" w14:textId="4B8A2F6B" w:rsidR="005A44B8" w:rsidRPr="00F54C45" w:rsidRDefault="005A44B8" w:rsidP="006C1EF2">
      <w:r w:rsidRPr="00F54C45">
        <w:t>The Academic Council, a consultative body of the IPT, with competences within the academic life in general and in the technical-scientific and pedagogical scope in particular also has a higher male representativeness throughout the 2018-2020 triennium. Although in the last two years there has been a decrease in the number of male representatives and an increase in the number of female representatives, the number of male representatives is still much higher, 68% of all members.</w:t>
      </w:r>
      <w:r w:rsidR="0029389F" w:rsidRPr="00F54C45">
        <w:t xml:space="preserve"> </w:t>
      </w:r>
    </w:p>
    <w:p w14:paraId="1DEA8AC6" w14:textId="286C24CE" w:rsidR="0029389F" w:rsidRPr="00F54C45" w:rsidRDefault="0029389F" w:rsidP="006C1EF2">
      <w:r w:rsidRPr="00F54C45">
        <w:t xml:space="preserve">IPT's </w:t>
      </w:r>
      <w:r w:rsidR="00A32B2E" w:rsidRPr="00F54C45">
        <w:t>chairs of academic d</w:t>
      </w:r>
      <w:r w:rsidRPr="00F54C45">
        <w:t xml:space="preserve">epartments are mostly </w:t>
      </w:r>
      <w:r w:rsidR="00A32B2E" w:rsidRPr="00F54C45">
        <w:t xml:space="preserve">occupied </w:t>
      </w:r>
      <w:r w:rsidRPr="00F54C45">
        <w:t>by men</w:t>
      </w:r>
      <w:r w:rsidR="00A32B2E" w:rsidRPr="00F54C45">
        <w:t xml:space="preserve"> i.e.</w:t>
      </w:r>
      <w:r w:rsidRPr="00F54C45">
        <w:t xml:space="preserve"> 71.4% of the heads of department are men. The same happens with programme directors </w:t>
      </w:r>
      <w:r w:rsidR="00A32B2E" w:rsidRPr="00F54C45">
        <w:t>of which</w:t>
      </w:r>
      <w:r w:rsidRPr="00F54C45">
        <w:t xml:space="preserve"> 61.9%  are male.</w:t>
      </w:r>
    </w:p>
    <w:p w14:paraId="705C0FA9" w14:textId="77777777" w:rsidR="00D0008D" w:rsidRPr="00F54C45" w:rsidRDefault="00D0008D" w:rsidP="0029389F">
      <w:pPr>
        <w:rPr>
          <w:rFonts w:asciiTheme="majorHAnsi" w:hAnsiTheme="majorHAnsi"/>
          <w:sz w:val="26"/>
          <w:szCs w:val="26"/>
        </w:rPr>
      </w:pPr>
    </w:p>
    <w:p w14:paraId="0444A0CE" w14:textId="77777777" w:rsidR="00D0008D" w:rsidRPr="00F54C45" w:rsidRDefault="00D0008D" w:rsidP="0029389F">
      <w:pPr>
        <w:rPr>
          <w:rFonts w:asciiTheme="majorHAnsi" w:hAnsiTheme="majorHAnsi"/>
          <w:sz w:val="26"/>
          <w:szCs w:val="26"/>
        </w:rPr>
      </w:pPr>
    </w:p>
    <w:p w14:paraId="552A5DC7" w14:textId="77777777" w:rsidR="00D0008D" w:rsidRPr="00F54C45" w:rsidRDefault="00D0008D" w:rsidP="0029389F">
      <w:pPr>
        <w:rPr>
          <w:rFonts w:asciiTheme="majorHAnsi" w:hAnsiTheme="majorHAnsi"/>
          <w:sz w:val="26"/>
          <w:szCs w:val="26"/>
        </w:rPr>
      </w:pPr>
    </w:p>
    <w:p w14:paraId="60E60C6E" w14:textId="57D9AF63" w:rsidR="0029389F" w:rsidRPr="00F54C45" w:rsidRDefault="0029389F" w:rsidP="0029389F">
      <w:pPr>
        <w:rPr>
          <w:rFonts w:asciiTheme="majorHAnsi" w:hAnsiTheme="majorHAnsi"/>
          <w:sz w:val="26"/>
          <w:szCs w:val="26"/>
        </w:rPr>
      </w:pPr>
      <w:r w:rsidRPr="00F54C45">
        <w:rPr>
          <w:rFonts w:asciiTheme="majorHAnsi" w:hAnsiTheme="majorHAnsi"/>
          <w:sz w:val="26"/>
          <w:szCs w:val="26"/>
        </w:rPr>
        <w:t>Academic/Research Staff</w:t>
      </w:r>
    </w:p>
    <w:p w14:paraId="708C7C6E" w14:textId="413A6FE9" w:rsidR="0029389F" w:rsidRPr="00F54C45" w:rsidRDefault="0029389F" w:rsidP="0029389F">
      <w:r w:rsidRPr="00F54C45">
        <w:t>With regard to the distribution of faculty members by gender, the number of male members was always higher throughout the triennium under review, occupying 64.13%, 64.16% and 63.03% of all members</w:t>
      </w:r>
      <w:r w:rsidR="00A32B2E" w:rsidRPr="00F54C45">
        <w:t xml:space="preserve"> </w:t>
      </w:r>
      <w:r w:rsidRPr="00F54C45">
        <w:t>in 2018, 2019 and 2020</w:t>
      </w:r>
      <w:r w:rsidR="00A32B2E" w:rsidRPr="00F54C45">
        <w:t xml:space="preserve"> respectively</w:t>
      </w:r>
      <w:r w:rsidRPr="00F54C45">
        <w:t>.</w:t>
      </w:r>
    </w:p>
    <w:p w14:paraId="0BA497B8" w14:textId="77777777" w:rsidR="00D0008D" w:rsidRPr="00F54C45" w:rsidRDefault="0029389F" w:rsidP="00D0008D">
      <w:r w:rsidRPr="00F54C45">
        <w:t xml:space="preserve">In the analysis carried out by </w:t>
      </w:r>
      <w:r w:rsidR="00C332C2" w:rsidRPr="00F54C45">
        <w:t>professional category</w:t>
      </w:r>
      <w:r w:rsidRPr="00F54C45">
        <w:t xml:space="preserve">, the discrepancy is greater the higher the </w:t>
      </w:r>
      <w:r w:rsidR="00C332C2" w:rsidRPr="00F54C45">
        <w:t>category</w:t>
      </w:r>
      <w:r w:rsidRPr="00F54C45">
        <w:t xml:space="preserve">. There is a high masculinisation in the </w:t>
      </w:r>
      <w:r w:rsidR="006F6B3B" w:rsidRPr="00F54C45">
        <w:t>Full Professor position</w:t>
      </w:r>
      <w:r w:rsidRPr="00F54C45">
        <w:t xml:space="preserve">, with more than 70% of male </w:t>
      </w:r>
      <w:r w:rsidR="00C84CD3" w:rsidRPr="00F54C45">
        <w:t>academics</w:t>
      </w:r>
      <w:r w:rsidRPr="00F54C45">
        <w:t xml:space="preserve"> occupying this category. With regard to the Ass</w:t>
      </w:r>
      <w:r w:rsidR="00C84CD3" w:rsidRPr="00F54C45">
        <w:t xml:space="preserve">ociate </w:t>
      </w:r>
      <w:r w:rsidRPr="00F54C45">
        <w:t xml:space="preserve">Professor </w:t>
      </w:r>
      <w:r w:rsidR="00C332C2" w:rsidRPr="00F54C45">
        <w:t>category</w:t>
      </w:r>
      <w:r w:rsidRPr="00F54C45">
        <w:t>, men are also in a higher position, since more than 61% of the teaching staff were male in this category. Finally, in the Assistant Professor category, around 65% were male, with men also being numerically superior.</w:t>
      </w:r>
      <w:bookmarkStart w:id="5" w:name="_Toc94537412"/>
    </w:p>
    <w:p w14:paraId="44DC884B" w14:textId="5F4C429E" w:rsidR="00C84CD3" w:rsidRPr="00F54C45" w:rsidRDefault="00C84CD3" w:rsidP="00D0008D">
      <w:r w:rsidRPr="00F54C45">
        <w:t xml:space="preserve">With regard to master's degree supervisors, most of the supervisors are male (69%) as well as the arguers (70%) and the panel chairpersons (61.5%). Internship/undergraduate/other supervisors are also mostly male (60%) as well as the examiners (63.2%) and the panel chairpersons (75%). </w:t>
      </w:r>
    </w:p>
    <w:bookmarkEnd w:id="5"/>
    <w:p w14:paraId="46E3C5FF" w14:textId="77777777" w:rsidR="00D0008D" w:rsidRPr="00F54C45" w:rsidRDefault="00D0008D" w:rsidP="00A32B2E">
      <w:pPr>
        <w:rPr>
          <w:b/>
          <w:bCs/>
        </w:rPr>
      </w:pPr>
    </w:p>
    <w:p w14:paraId="42EA7E11" w14:textId="5C94789B" w:rsidR="00A32B2E" w:rsidRPr="00F54C45" w:rsidRDefault="00A32B2E" w:rsidP="00A32B2E">
      <w:pPr>
        <w:rPr>
          <w:b/>
          <w:bCs/>
        </w:rPr>
      </w:pPr>
      <w:r w:rsidRPr="00F54C45">
        <w:rPr>
          <w:b/>
          <w:bCs/>
        </w:rPr>
        <w:t>Technical Career Staff (non-teaching staff)</w:t>
      </w:r>
    </w:p>
    <w:p w14:paraId="69C18BA1" w14:textId="29932148" w:rsidR="00C84CD3" w:rsidRPr="00F54C45" w:rsidRDefault="00A32B2E" w:rsidP="00A32B2E">
      <w:r w:rsidRPr="00F54C45">
        <w:t xml:space="preserve">Contrary to what happened with the teaching staff, the analysis of the distribution of IPT non-teaching staff according to gender showed a clear prevalence of women, on average above 70%. By professional category, the difference between genders is smaller in the highest position of Senior Technician, with approximately 65% female. </w:t>
      </w:r>
    </w:p>
    <w:p w14:paraId="2F0C7A0B" w14:textId="6D411828" w:rsidR="00C332C2" w:rsidRPr="00F54C45" w:rsidRDefault="00C332C2" w:rsidP="006C1EF2">
      <w:r w:rsidRPr="00F54C45">
        <w:t>The exception is found in the IT career where the number of male employees is higher at about 78%.</w:t>
      </w:r>
    </w:p>
    <w:p w14:paraId="258E2E90" w14:textId="20BC5E96" w:rsidR="007462C5" w:rsidRPr="00F54C45" w:rsidRDefault="007462C5" w:rsidP="006C1EF2">
      <w:r w:rsidRPr="00F54C45">
        <w:t>From the data collected about IPT's students a prevalence</w:t>
      </w:r>
      <w:r w:rsidR="00A00607" w:rsidRPr="00F54C45">
        <w:t xml:space="preserve"> </w:t>
      </w:r>
      <w:r w:rsidRPr="00F54C45">
        <w:t>although not very significant</w:t>
      </w:r>
      <w:r w:rsidR="00A00607" w:rsidRPr="00F54C45">
        <w:t xml:space="preserve"> (56,8%)</w:t>
      </w:r>
      <w:r w:rsidRPr="00F54C45">
        <w:t xml:space="preserve"> of male students may be observed. Nevertheless, in the distribution per </w:t>
      </w:r>
      <w:r w:rsidR="00A00607" w:rsidRPr="00F54C45">
        <w:t>academic level</w:t>
      </w:r>
      <w:r w:rsidRPr="00F54C45">
        <w:t xml:space="preserve"> there is a higher number of female students in the Master degree courses. On the contrary, in the Engineering and Technology courses there is a clear </w:t>
      </w:r>
      <w:r w:rsidRPr="00F54C45">
        <w:lastRenderedPageBreak/>
        <w:t xml:space="preserve">predominance of male students and in some </w:t>
      </w:r>
      <w:r w:rsidR="00A00607" w:rsidRPr="00F54C45">
        <w:t>degree programmes</w:t>
      </w:r>
      <w:r w:rsidRPr="00F54C45">
        <w:t>, namely Electrical and Computer Engineering, Computer Engineering, Chemical and Biochemical Engineering, Mechanical Engineering and Multimedia Technologies, the difference is quite high, with percentages above 80% and in some cases exceeding 90%. There are only a few exceptions, as in the case of Conservation and Restoration, Design and Graphic Arts Technology and Chemical Technology where the number of female students is higher.</w:t>
      </w:r>
    </w:p>
    <w:p w14:paraId="290D7FBF" w14:textId="77777777" w:rsidR="00346A2C" w:rsidRPr="00F54C45" w:rsidRDefault="00346A2C" w:rsidP="00A00607">
      <w:pPr>
        <w:rPr>
          <w:b/>
          <w:bCs/>
        </w:rPr>
      </w:pPr>
    </w:p>
    <w:p w14:paraId="32D16ACA" w14:textId="3FBF4D83" w:rsidR="00A00607" w:rsidRPr="00F54C45" w:rsidRDefault="00A00607" w:rsidP="00A00607">
      <w:pPr>
        <w:rPr>
          <w:b/>
          <w:bCs/>
        </w:rPr>
      </w:pPr>
      <w:r w:rsidRPr="00F54C45">
        <w:rPr>
          <w:b/>
          <w:bCs/>
        </w:rPr>
        <w:t>Work-life balance</w:t>
      </w:r>
    </w:p>
    <w:p w14:paraId="31716816" w14:textId="26FA9D8D" w:rsidR="00A00607" w:rsidRPr="00F54C45" w:rsidRDefault="00A00607" w:rsidP="00A00607">
      <w:r w:rsidRPr="00F54C45">
        <w:t>The IPT is aligned with national legislation regarding policies for reconciling professional, personal and family life, namely initial parental leave for mother and father, adoption, sabbatical, caregiver and flexible working arrangements.</w:t>
      </w:r>
    </w:p>
    <w:p w14:paraId="20A6A428" w14:textId="0DD9E6F1" w:rsidR="00A00607" w:rsidRPr="00F54C45" w:rsidRDefault="00A00607" w:rsidP="006C1EF2">
      <w:r w:rsidRPr="00F54C45">
        <w:t xml:space="preserve">With regard to the enjoyment of some type of leave that facilitates the balance between professional and personal life of teaching staff, based on the data collected it was possible to see that in two of the three years under review (2018 and 2020) there was equality in both genders. In the year 2019, there is a greater number of leaves used by the female gender (75%). With regard to non-teaching staff, the majority of leaves were taken by women, but there is a downward trend in the period under review. In 2018, all leave was taken by women, in 2019 leave taken by women represented 83% of the total and in 2020, only 60% was taken by women. </w:t>
      </w:r>
    </w:p>
    <w:p w14:paraId="5DA99C5C" w14:textId="77777777" w:rsidR="00A00607" w:rsidRPr="00F54C45" w:rsidRDefault="00A00607" w:rsidP="00A00607">
      <w:r w:rsidRPr="00F54C45">
        <w:t xml:space="preserve">Parental leave, shared parental leave and, in a greater number of cases, flexible working hours were taken, namely by non-teaching staff. </w:t>
      </w:r>
    </w:p>
    <w:p w14:paraId="46651E03" w14:textId="7D242346" w:rsidR="00A00607" w:rsidRPr="00F54C45" w:rsidRDefault="00A00607" w:rsidP="00A00607">
      <w:r w:rsidRPr="00F54C45">
        <w:t xml:space="preserve">In the </w:t>
      </w:r>
      <w:r w:rsidR="00346A2C" w:rsidRPr="00F54C45">
        <w:t xml:space="preserve">questionnaire </w:t>
      </w:r>
      <w:r w:rsidRPr="00F54C45">
        <w:t>administered to the teaching staff, it can be seen that the majority of them regularly work more than the planned working hours (69%). The reasons most often given were: class preparation and participation in international projects; daytime and post-labo</w:t>
      </w:r>
      <w:r w:rsidR="00BC0208" w:rsidRPr="00F54C45">
        <w:t>u</w:t>
      </w:r>
      <w:r w:rsidRPr="00F54C45">
        <w:t>r teaching hours.</w:t>
      </w:r>
    </w:p>
    <w:p w14:paraId="02D91D83" w14:textId="77777777" w:rsidR="00BC0208" w:rsidRPr="00F54C45" w:rsidRDefault="00BC0208" w:rsidP="00BC0208">
      <w:r w:rsidRPr="00F54C45">
        <w:t xml:space="preserve">Based on the answers received, it can be seen that not having classes after 6 p.m. would allow teachers to achieve a better balance between their personal, family and </w:t>
      </w:r>
      <w:r w:rsidRPr="00F54C45">
        <w:lastRenderedPageBreak/>
        <w:t>professional life. Most of the teachers would like to have more time to dedicate to research.</w:t>
      </w:r>
    </w:p>
    <w:p w14:paraId="1889C722" w14:textId="2A552428" w:rsidR="00BC0208" w:rsidRPr="00F54C45" w:rsidRDefault="00BC0208" w:rsidP="00BC0208">
      <w:r w:rsidRPr="00F54C45">
        <w:t>It was also possible to observe that the IPT teaching and non-teaching staff are unaware of any support services or benefits available for employees with responsibilities in caring for dependents (ascendants or descendants).</w:t>
      </w:r>
    </w:p>
    <w:p w14:paraId="223178D6" w14:textId="77777777" w:rsidR="006826C4" w:rsidRPr="00F54C45" w:rsidRDefault="006826C4" w:rsidP="00372251">
      <w:pPr>
        <w:rPr>
          <w:lang w:val="pt-PT"/>
        </w:rPr>
      </w:pPr>
    </w:p>
    <w:p w14:paraId="2C02A44E" w14:textId="5ECAB93E" w:rsidR="00372251" w:rsidRPr="00F54C45" w:rsidRDefault="00372251" w:rsidP="00372251">
      <w:pPr>
        <w:rPr>
          <w:b/>
          <w:bCs/>
        </w:rPr>
      </w:pPr>
      <w:r w:rsidRPr="00F54C45">
        <w:rPr>
          <w:b/>
          <w:bCs/>
        </w:rPr>
        <w:t>Sexism, mobbing and sexual and moral harassment</w:t>
      </w:r>
    </w:p>
    <w:p w14:paraId="7C6614BB" w14:textId="52401E8C" w:rsidR="00372251" w:rsidRPr="00F54C45" w:rsidRDefault="00372251" w:rsidP="00372251">
      <w:r w:rsidRPr="00F54C45">
        <w:t>The survey of good practice showed that there is no code of conduct to prevent and combat sexual and moral harassment at the IPT.</w:t>
      </w:r>
    </w:p>
    <w:p w14:paraId="64651EFD" w14:textId="30151CD6" w:rsidR="00372251" w:rsidRPr="00F54C45" w:rsidRDefault="00372251" w:rsidP="00372251">
      <w:r w:rsidRPr="00F54C45">
        <w:t xml:space="preserve">The questionnaires carried out with teaching and non-teaching staff showed that there are, although in a reduced number, sexist attitudes and behaviours, namely teasing, jokes, comments or sexual/sexist questions. </w:t>
      </w:r>
    </w:p>
    <w:p w14:paraId="5D17CDCF" w14:textId="77777777" w:rsidR="0075695A" w:rsidRPr="00F54C45" w:rsidRDefault="0075695A" w:rsidP="006C1EF2"/>
    <w:p w14:paraId="1D972A2A" w14:textId="77777777" w:rsidR="00372251" w:rsidRPr="00F54C45" w:rsidRDefault="00372251" w:rsidP="00372251">
      <w:pPr>
        <w:jc w:val="right"/>
        <w:rPr>
          <w:rFonts w:asciiTheme="majorHAnsi" w:eastAsiaTheme="majorEastAsia" w:hAnsiTheme="majorHAnsi" w:cstheme="majorBidi"/>
          <w:b/>
          <w:bCs/>
          <w:sz w:val="40"/>
          <w:szCs w:val="40"/>
          <w:lang w:val="pt-PT"/>
        </w:rPr>
      </w:pPr>
      <w:r w:rsidRPr="00F54C45">
        <w:rPr>
          <w:rFonts w:asciiTheme="majorHAnsi" w:eastAsiaTheme="majorEastAsia" w:hAnsiTheme="majorHAnsi" w:cstheme="majorBidi"/>
          <w:b/>
          <w:bCs/>
          <w:sz w:val="40"/>
          <w:szCs w:val="40"/>
          <w:lang w:val="pt-PT"/>
        </w:rPr>
        <w:t>Action Plan</w:t>
      </w:r>
    </w:p>
    <w:p w14:paraId="25842482" w14:textId="2B537A27" w:rsidR="000364BD" w:rsidRPr="00F54C45" w:rsidRDefault="006826C4" w:rsidP="00A56D73">
      <w:pPr>
        <w:spacing w:after="0"/>
      </w:pPr>
      <w:r w:rsidRPr="00F54C45">
        <w:t xml:space="preserve">The </w:t>
      </w:r>
      <w:r w:rsidR="000364BD" w:rsidRPr="00F54C45">
        <w:t xml:space="preserve">IPT’s Gender Equality, Inclusion and Diversity Plan  is organised into six priority areas of action for which strategic objectives and actions have been </w:t>
      </w:r>
      <w:r w:rsidR="0064351C" w:rsidRPr="00F54C45">
        <w:t>set out.</w:t>
      </w:r>
      <w:r w:rsidR="000364BD" w:rsidRPr="00F54C45">
        <w:t xml:space="preserve"> For each action some elements were identified such as the year of implementation, the people in charge as well as the monitoring indicators and respective </w:t>
      </w:r>
      <w:r w:rsidR="0064351C" w:rsidRPr="00F54C45">
        <w:t>targets</w:t>
      </w:r>
      <w:r w:rsidR="000364BD" w:rsidRPr="00F54C45">
        <w:t>.</w:t>
      </w:r>
    </w:p>
    <w:p w14:paraId="3A2A742B" w14:textId="3C81F5B2" w:rsidR="000364BD" w:rsidRPr="00F54C45" w:rsidRDefault="000364BD" w:rsidP="0064351C">
      <w:pPr>
        <w:spacing w:after="0"/>
      </w:pPr>
      <w:r w:rsidRPr="00F54C45">
        <w:t xml:space="preserve"> </w:t>
      </w:r>
    </w:p>
    <w:p w14:paraId="694B46DB" w14:textId="1C72C748" w:rsidR="000364BD" w:rsidRPr="00F54C45" w:rsidRDefault="000364BD" w:rsidP="000364BD">
      <w:pPr>
        <w:tabs>
          <w:tab w:val="left" w:pos="1134"/>
        </w:tabs>
        <w:contextualSpacing/>
      </w:pPr>
      <w:r w:rsidRPr="00F54C45">
        <w:t>This Plan sets out six Priority Areas:</w:t>
      </w:r>
    </w:p>
    <w:p w14:paraId="07EA3354" w14:textId="77777777" w:rsidR="000364BD" w:rsidRPr="00F54C45" w:rsidRDefault="000364BD" w:rsidP="000364BD">
      <w:pPr>
        <w:tabs>
          <w:tab w:val="left" w:pos="1134"/>
        </w:tabs>
        <w:ind w:left="567"/>
        <w:contextualSpacing/>
      </w:pPr>
      <w:r w:rsidRPr="00F54C45">
        <w:t>1.</w:t>
      </w:r>
      <w:r w:rsidRPr="00F54C45">
        <w:tab/>
        <w:t>Governance</w:t>
      </w:r>
    </w:p>
    <w:p w14:paraId="3EBFC2FB" w14:textId="77777777" w:rsidR="000364BD" w:rsidRPr="00F54C45" w:rsidRDefault="000364BD" w:rsidP="000364BD">
      <w:pPr>
        <w:tabs>
          <w:tab w:val="left" w:pos="1134"/>
        </w:tabs>
        <w:ind w:left="567"/>
        <w:contextualSpacing/>
      </w:pPr>
      <w:r w:rsidRPr="00F54C45">
        <w:t>2.</w:t>
      </w:r>
      <w:r w:rsidRPr="00F54C45">
        <w:tab/>
        <w:t>Internal and external communication</w:t>
      </w:r>
    </w:p>
    <w:p w14:paraId="5DA7EA21" w14:textId="77777777" w:rsidR="000364BD" w:rsidRPr="00F54C45" w:rsidRDefault="000364BD" w:rsidP="000364BD">
      <w:pPr>
        <w:tabs>
          <w:tab w:val="left" w:pos="1134"/>
        </w:tabs>
        <w:ind w:left="567"/>
        <w:contextualSpacing/>
      </w:pPr>
      <w:r w:rsidRPr="00F54C45">
        <w:t>3.</w:t>
      </w:r>
      <w:r w:rsidRPr="00F54C45">
        <w:tab/>
        <w:t>Gender, teaching and research</w:t>
      </w:r>
    </w:p>
    <w:p w14:paraId="0DCDD0C1" w14:textId="77777777" w:rsidR="000364BD" w:rsidRPr="00F54C45" w:rsidRDefault="000364BD" w:rsidP="000364BD">
      <w:pPr>
        <w:tabs>
          <w:tab w:val="left" w:pos="1134"/>
        </w:tabs>
        <w:ind w:left="567"/>
        <w:contextualSpacing/>
      </w:pPr>
      <w:r w:rsidRPr="00F54C45">
        <w:t>4.</w:t>
      </w:r>
      <w:r w:rsidRPr="00F54C45">
        <w:tab/>
        <w:t>Harassment, sexist attitudes and discrimination</w:t>
      </w:r>
    </w:p>
    <w:p w14:paraId="2BCE2AA5" w14:textId="77777777" w:rsidR="000364BD" w:rsidRPr="00F54C45" w:rsidRDefault="000364BD" w:rsidP="000364BD">
      <w:pPr>
        <w:tabs>
          <w:tab w:val="left" w:pos="1134"/>
        </w:tabs>
        <w:ind w:left="567"/>
        <w:contextualSpacing/>
      </w:pPr>
      <w:r w:rsidRPr="00F54C45">
        <w:t xml:space="preserve">5. </w:t>
      </w:r>
      <w:r w:rsidRPr="00F54C45">
        <w:tab/>
        <w:t>Diversity and Inclusion</w:t>
      </w:r>
    </w:p>
    <w:p w14:paraId="668BB9CC" w14:textId="1F46CE11" w:rsidR="000364BD" w:rsidRPr="00F54C45" w:rsidRDefault="000364BD" w:rsidP="000364BD">
      <w:pPr>
        <w:tabs>
          <w:tab w:val="left" w:pos="1134"/>
        </w:tabs>
        <w:ind w:left="567"/>
        <w:contextualSpacing/>
      </w:pPr>
      <w:r w:rsidRPr="00F54C45">
        <w:t>6.</w:t>
      </w:r>
      <w:r w:rsidRPr="00F54C45">
        <w:tab/>
        <w:t>Work-life balance.</w:t>
      </w:r>
    </w:p>
    <w:p w14:paraId="2F4FB862" w14:textId="77777777" w:rsidR="00820863" w:rsidRPr="00F54C45" w:rsidRDefault="00820863" w:rsidP="006C1EF2"/>
    <w:p w14:paraId="796C44E2" w14:textId="2C678525" w:rsidR="000364BD" w:rsidRPr="00F54C45" w:rsidRDefault="000364BD" w:rsidP="006C1EF2">
      <w:r w:rsidRPr="00F54C45">
        <w:lastRenderedPageBreak/>
        <w:t>For each Priority Area, the following strategic goals have been identified:</w:t>
      </w:r>
    </w:p>
    <w:p w14:paraId="7A2EFC9F" w14:textId="1055AEF1" w:rsidR="006E3424" w:rsidRPr="00F54C45" w:rsidRDefault="000364BD" w:rsidP="0064351C">
      <w:pPr>
        <w:pStyle w:val="Ttulo2"/>
        <w:rPr>
          <w:lang w:val="pt-PT"/>
        </w:rPr>
      </w:pPr>
      <w:bookmarkStart w:id="6" w:name="_Toc94537416"/>
      <w:r w:rsidRPr="00F54C45">
        <w:rPr>
          <w:lang w:val="pt-PT"/>
        </w:rPr>
        <w:t>Priority Area 1</w:t>
      </w:r>
      <w:r w:rsidR="008C07FC" w:rsidRPr="00F54C45">
        <w:rPr>
          <w:lang w:val="pt-PT"/>
        </w:rPr>
        <w:t xml:space="preserve"> - Governan</w:t>
      </w:r>
      <w:bookmarkEnd w:id="6"/>
      <w:r w:rsidRPr="00F54C45">
        <w:rPr>
          <w:lang w:val="pt-PT"/>
        </w:rPr>
        <w:t>ce</w:t>
      </w:r>
    </w:p>
    <w:p w14:paraId="3AB5BAE8" w14:textId="4DD9243C" w:rsidR="000364BD" w:rsidRPr="00F54C45" w:rsidRDefault="000364BD" w:rsidP="006C1EF2">
      <w:r w:rsidRPr="00F54C45">
        <w:t xml:space="preserve">Goal: </w:t>
      </w:r>
      <w:r w:rsidR="0064351C" w:rsidRPr="00F54C45">
        <w:t>I</w:t>
      </w:r>
      <w:r w:rsidRPr="00F54C45">
        <w:t>ncorporate the gender dimension in IPT's organisational culture.</w:t>
      </w:r>
    </w:p>
    <w:p w14:paraId="39357987" w14:textId="59A1D7D3" w:rsidR="00E86672" w:rsidRPr="00F54C45" w:rsidRDefault="00E86672" w:rsidP="00820863">
      <w:pPr>
        <w:ind w:left="851" w:hanging="851"/>
      </w:pPr>
      <w:r w:rsidRPr="00F54C45">
        <w:rPr>
          <w:b/>
          <w:bCs/>
        </w:rPr>
        <w:t>Action 1</w:t>
      </w:r>
      <w:r w:rsidRPr="00F54C45">
        <w:t>: Dra</w:t>
      </w:r>
      <w:r w:rsidR="0064351C" w:rsidRPr="00F54C45">
        <w:t>w up</w:t>
      </w:r>
      <w:r w:rsidRPr="00F54C45">
        <w:t xml:space="preserve"> a policy proposal on gender equality and diversity at IPT</w:t>
      </w:r>
    </w:p>
    <w:p w14:paraId="7E25338E" w14:textId="187B2315" w:rsidR="00E86672" w:rsidRPr="00F54C45" w:rsidRDefault="00E86672" w:rsidP="00820863">
      <w:pPr>
        <w:ind w:left="851" w:hanging="851"/>
      </w:pPr>
      <w:r w:rsidRPr="00F54C45">
        <w:rPr>
          <w:b/>
          <w:bCs/>
        </w:rPr>
        <w:t>Action 2:</w:t>
      </w:r>
      <w:r w:rsidRPr="00F54C45">
        <w:t xml:space="preserve"> </w:t>
      </w:r>
      <w:r w:rsidR="0064351C" w:rsidRPr="00F54C45">
        <w:t>Engage</w:t>
      </w:r>
      <w:r w:rsidRPr="00F54C45">
        <w:t xml:space="preserve"> to promote equality between women and men in the IPT's strategic plan</w:t>
      </w:r>
    </w:p>
    <w:p w14:paraId="7194749C" w14:textId="1A7BAC66" w:rsidR="001C6DBF" w:rsidRPr="00F54C45" w:rsidRDefault="00E86672" w:rsidP="0064351C">
      <w:pPr>
        <w:ind w:left="851" w:hanging="851"/>
      </w:pPr>
      <w:r w:rsidRPr="00F54C45">
        <w:rPr>
          <w:b/>
          <w:bCs/>
        </w:rPr>
        <w:t>Action 3.</w:t>
      </w:r>
      <w:r w:rsidRPr="00F54C45">
        <w:t xml:space="preserve"> Characterise the IPT community by gender and disability</w:t>
      </w:r>
    </w:p>
    <w:p w14:paraId="5CDE09D5" w14:textId="3195E9B8" w:rsidR="00E86672" w:rsidRPr="00F54C45" w:rsidRDefault="00E86672" w:rsidP="00820863">
      <w:pPr>
        <w:ind w:left="851" w:hanging="851"/>
      </w:pPr>
      <w:r w:rsidRPr="00F54C45">
        <w:rPr>
          <w:b/>
          <w:bCs/>
        </w:rPr>
        <w:t>Action 4.</w:t>
      </w:r>
      <w:r w:rsidRPr="00F54C45">
        <w:t xml:space="preserve"> Create an IPT Focus Group (FG) to diagnose the vision of workers on gender equality, gender stereotypes, articulation of professional, family and personal life, moral and sexual harassment at work.  </w:t>
      </w:r>
    </w:p>
    <w:p w14:paraId="3CA10A9F" w14:textId="5E79D6B9" w:rsidR="00C4550A" w:rsidRPr="00F54C45" w:rsidRDefault="00C4550A" w:rsidP="00820863">
      <w:pPr>
        <w:ind w:left="851" w:hanging="851"/>
      </w:pPr>
      <w:r w:rsidRPr="00F54C45">
        <w:rPr>
          <w:b/>
          <w:bCs/>
        </w:rPr>
        <w:t>Action 5.</w:t>
      </w:r>
      <w:r w:rsidRPr="00F54C45">
        <w:t xml:space="preserve"> Implement training actions for workers aimed at gender equality and non-discrimination issues.   </w:t>
      </w:r>
    </w:p>
    <w:p w14:paraId="04939B5D" w14:textId="5AF712E4" w:rsidR="00C4550A" w:rsidRPr="00F54C45" w:rsidRDefault="00C4550A" w:rsidP="00C4550A">
      <w:pPr>
        <w:pStyle w:val="Ttulo2"/>
      </w:pPr>
      <w:r w:rsidRPr="00F54C45">
        <w:t>Priority Area 2 - Internal and external communication</w:t>
      </w:r>
    </w:p>
    <w:p w14:paraId="03A77145" w14:textId="4B3BB202" w:rsidR="00C4550A" w:rsidRPr="00F54C45" w:rsidRDefault="00C4550A" w:rsidP="006C1EF2">
      <w:r w:rsidRPr="00F54C45">
        <w:rPr>
          <w:b/>
          <w:bCs/>
        </w:rPr>
        <w:t>Goal:</w:t>
      </w:r>
      <w:r w:rsidRPr="00F54C45">
        <w:t xml:space="preserve"> Raise awareness in the IPT and in the wider community of the principles of gender equality.</w:t>
      </w:r>
    </w:p>
    <w:p w14:paraId="3EA4A97A" w14:textId="05722DB9" w:rsidR="008C07FC" w:rsidRPr="00F54C45" w:rsidRDefault="00C4550A" w:rsidP="00820863">
      <w:pPr>
        <w:pStyle w:val="Ttulo2"/>
      </w:pPr>
      <w:r w:rsidRPr="00F54C45">
        <w:t>Priority Area 3 – Gender, education and research</w:t>
      </w:r>
    </w:p>
    <w:p w14:paraId="6206B2B5" w14:textId="50CF83D5" w:rsidR="000A14FB" w:rsidRPr="00F54C45" w:rsidRDefault="00C4550A" w:rsidP="00820863">
      <w:pPr>
        <w:spacing w:after="0"/>
        <w:rPr>
          <w:b/>
          <w:bCs/>
        </w:rPr>
      </w:pPr>
      <w:r w:rsidRPr="00F54C45">
        <w:rPr>
          <w:b/>
          <w:bCs/>
        </w:rPr>
        <w:t>Goal</w:t>
      </w:r>
      <w:r w:rsidR="008C07FC" w:rsidRPr="00F54C45">
        <w:rPr>
          <w:b/>
          <w:bCs/>
        </w:rPr>
        <w:t xml:space="preserve">s: </w:t>
      </w:r>
    </w:p>
    <w:p w14:paraId="019E104E" w14:textId="4BB5CDDE" w:rsidR="00C4550A" w:rsidRPr="00F54C45" w:rsidRDefault="00C4550A" w:rsidP="005A616A">
      <w:pPr>
        <w:pStyle w:val="PargrafodaLista"/>
        <w:numPr>
          <w:ilvl w:val="0"/>
          <w:numId w:val="21"/>
        </w:numPr>
      </w:pPr>
      <w:r w:rsidRPr="00F54C45">
        <w:t>To combat segregation and promote the balanced representation of women and men in teaching and research activities.</w:t>
      </w:r>
    </w:p>
    <w:p w14:paraId="27E43384" w14:textId="0850C3E3" w:rsidR="00C4550A" w:rsidRPr="00F54C45" w:rsidRDefault="00C4550A" w:rsidP="005A616A">
      <w:pPr>
        <w:pStyle w:val="PargrafodaLista"/>
        <w:numPr>
          <w:ilvl w:val="0"/>
          <w:numId w:val="21"/>
        </w:numPr>
      </w:pPr>
      <w:r w:rsidRPr="00F54C45">
        <w:t>To sensiti</w:t>
      </w:r>
      <w:r w:rsidR="005A616A" w:rsidRPr="00F54C45">
        <w:t>s</w:t>
      </w:r>
      <w:r w:rsidRPr="00F54C45">
        <w:t>e female and male students to the need to opt for scientific fields of study where they are underrepresented.</w:t>
      </w:r>
    </w:p>
    <w:p w14:paraId="598C6DD9" w14:textId="10F89A06" w:rsidR="00C4550A" w:rsidRPr="00F54C45" w:rsidRDefault="00C4550A" w:rsidP="005A616A">
      <w:pPr>
        <w:pStyle w:val="PargrafodaLista"/>
        <w:numPr>
          <w:ilvl w:val="0"/>
          <w:numId w:val="21"/>
        </w:numPr>
      </w:pPr>
      <w:r w:rsidRPr="00F54C45">
        <w:t>To sensiti</w:t>
      </w:r>
      <w:r w:rsidR="005A616A" w:rsidRPr="00F54C45">
        <w:t>s</w:t>
      </w:r>
      <w:r w:rsidRPr="00F54C45">
        <w:t>e the international community to the importance of gender equality in teaching and research</w:t>
      </w:r>
    </w:p>
    <w:p w14:paraId="40D3085F" w14:textId="3A85C0FB" w:rsidR="008C07FC" w:rsidRPr="00F54C45" w:rsidRDefault="005A616A" w:rsidP="00820863">
      <w:pPr>
        <w:pStyle w:val="Ttulo2"/>
      </w:pPr>
      <w:bookmarkStart w:id="7" w:name="_Toc94537419"/>
      <w:r w:rsidRPr="00F54C45">
        <w:lastRenderedPageBreak/>
        <w:t>Priority Area 4</w:t>
      </w:r>
      <w:r w:rsidR="008C07FC" w:rsidRPr="00F54C45">
        <w:t xml:space="preserve"> – </w:t>
      </w:r>
      <w:bookmarkEnd w:id="7"/>
      <w:r w:rsidRPr="00F54C45">
        <w:t>Harassment, sexist attitudes and violence</w:t>
      </w:r>
    </w:p>
    <w:p w14:paraId="3B66E43D" w14:textId="112908E7" w:rsidR="005A616A" w:rsidRPr="00F54C45" w:rsidRDefault="005A616A" w:rsidP="00820863">
      <w:pPr>
        <w:pStyle w:val="Ttulo2"/>
        <w:rPr>
          <w:rFonts w:asciiTheme="minorHAnsi" w:eastAsiaTheme="minorHAnsi" w:hAnsiTheme="minorHAnsi" w:cstheme="minorHAnsi"/>
          <w:bCs w:val="0"/>
          <w:sz w:val="24"/>
          <w:szCs w:val="24"/>
        </w:rPr>
      </w:pPr>
      <w:bookmarkStart w:id="8" w:name="_Toc94537420"/>
      <w:r w:rsidRPr="00F54C45">
        <w:rPr>
          <w:rFonts w:asciiTheme="minorHAnsi" w:eastAsiaTheme="minorHAnsi" w:hAnsiTheme="minorHAnsi" w:cstheme="minorHAnsi"/>
          <w:bCs w:val="0"/>
          <w:sz w:val="24"/>
          <w:szCs w:val="24"/>
        </w:rPr>
        <w:t xml:space="preserve">Goal: </w:t>
      </w:r>
      <w:r w:rsidR="0064351C" w:rsidRPr="00F54C45">
        <w:rPr>
          <w:rFonts w:asciiTheme="minorHAnsi" w:eastAsiaTheme="minorHAnsi" w:hAnsiTheme="minorHAnsi" w:cstheme="minorHAnsi"/>
          <w:b w:val="0"/>
          <w:sz w:val="24"/>
          <w:szCs w:val="24"/>
        </w:rPr>
        <w:t>C</w:t>
      </w:r>
      <w:r w:rsidRPr="00F54C45">
        <w:rPr>
          <w:rFonts w:asciiTheme="minorHAnsi" w:eastAsiaTheme="minorHAnsi" w:hAnsiTheme="minorHAnsi" w:cstheme="minorHAnsi"/>
          <w:b w:val="0"/>
          <w:sz w:val="24"/>
          <w:szCs w:val="24"/>
        </w:rPr>
        <w:t>ombat harassment and violence.</w:t>
      </w:r>
    </w:p>
    <w:bookmarkEnd w:id="8"/>
    <w:p w14:paraId="4E731E36" w14:textId="203D4A78" w:rsidR="00307983" w:rsidRPr="00F54C45" w:rsidRDefault="005A616A" w:rsidP="00820863">
      <w:pPr>
        <w:pStyle w:val="Ttulo2"/>
      </w:pPr>
      <w:r w:rsidRPr="00F54C45">
        <w:t>Priority Area 5 – Diversity and Inclusion</w:t>
      </w:r>
    </w:p>
    <w:p w14:paraId="19A79A39" w14:textId="35578353" w:rsidR="000C29E7" w:rsidRPr="00F54C45" w:rsidRDefault="005A616A" w:rsidP="006C1EF2">
      <w:r w:rsidRPr="00F54C45">
        <w:rPr>
          <w:b/>
        </w:rPr>
        <w:t>Goal</w:t>
      </w:r>
      <w:r w:rsidR="000C29E7" w:rsidRPr="00F54C45">
        <w:rPr>
          <w:b/>
        </w:rPr>
        <w:t xml:space="preserve">: </w:t>
      </w:r>
      <w:r w:rsidRPr="00F54C45">
        <w:t>Promote diversity and an inclusive environment and prevent discrimination.</w:t>
      </w:r>
    </w:p>
    <w:p w14:paraId="139A9B23" w14:textId="2074C324" w:rsidR="008C07FC" w:rsidRPr="00F54C45" w:rsidRDefault="005A616A" w:rsidP="00820863">
      <w:pPr>
        <w:pStyle w:val="Ttulo2"/>
      </w:pPr>
      <w:bookmarkStart w:id="9" w:name="_Toc94537421"/>
      <w:r w:rsidRPr="00F54C45">
        <w:t xml:space="preserve">Priority Area 6 </w:t>
      </w:r>
      <w:r w:rsidR="008C07FC" w:rsidRPr="00F54C45">
        <w:t xml:space="preserve"> – </w:t>
      </w:r>
      <w:bookmarkEnd w:id="9"/>
      <w:r w:rsidR="00990244" w:rsidRPr="00F54C45">
        <w:t>Balance between professional life and personal/family life</w:t>
      </w:r>
    </w:p>
    <w:p w14:paraId="2D3E557F" w14:textId="4B17AE6C" w:rsidR="008C07FC" w:rsidRPr="00F54C45" w:rsidRDefault="00990244" w:rsidP="006C1EF2">
      <w:r w:rsidRPr="00F54C45">
        <w:rPr>
          <w:b/>
        </w:rPr>
        <w:t>Goal</w:t>
      </w:r>
      <w:r w:rsidR="008C07FC" w:rsidRPr="00F54C45">
        <w:rPr>
          <w:b/>
        </w:rPr>
        <w:t>:</w:t>
      </w:r>
      <w:r w:rsidR="008C07FC" w:rsidRPr="00F54C45">
        <w:t xml:space="preserve"> </w:t>
      </w:r>
      <w:r w:rsidRPr="00F54C45">
        <w:t>Improve the reconciliation between work and personal and family life.</w:t>
      </w:r>
    </w:p>
    <w:p w14:paraId="6F747258" w14:textId="49A81788" w:rsidR="00F754F2" w:rsidRPr="00F54C45" w:rsidRDefault="00F754F2" w:rsidP="006C1EF2">
      <w:r w:rsidRPr="00F54C45">
        <w:t xml:space="preserve">In order to monitor the Plan and evaluate the achievement of the </w:t>
      </w:r>
      <w:r w:rsidR="0064351C" w:rsidRPr="00F54C45">
        <w:t>goals</w:t>
      </w:r>
      <w:r w:rsidRPr="00F54C45">
        <w:t xml:space="preserve">, a set of indicators and respective targets were </w:t>
      </w:r>
      <w:r w:rsidR="0064351C" w:rsidRPr="00F54C45">
        <w:t xml:space="preserve">set out </w:t>
      </w:r>
      <w:r w:rsidRPr="00F54C45">
        <w:t>for each action.</w:t>
      </w:r>
    </w:p>
    <w:p w14:paraId="465A10E6" w14:textId="13B739D0" w:rsidR="00F754F2" w:rsidRPr="00F54C45" w:rsidRDefault="00F754F2" w:rsidP="006C1EF2">
      <w:r w:rsidRPr="00F54C45">
        <w:t xml:space="preserve">After the implementation of the plan, it requires monitoring, which will allow an annual assessment of the degree of implementation of the actions and analysis of the results achieved by measuring the indicators and respective targets. Annual reports to be publicly disseminated are provided for in the Plan, thus </w:t>
      </w:r>
      <w:r w:rsidR="0064351C" w:rsidRPr="00F54C45">
        <w:t xml:space="preserve">ensuring the </w:t>
      </w:r>
      <w:r w:rsidRPr="00F54C45">
        <w:t>institution</w:t>
      </w:r>
      <w:r w:rsidR="0064351C" w:rsidRPr="00F54C45">
        <w:t xml:space="preserve">’s </w:t>
      </w:r>
      <w:r w:rsidRPr="00F54C45">
        <w:t>commit</w:t>
      </w:r>
      <w:r w:rsidR="0064351C" w:rsidRPr="00F54C45">
        <w:t>ment</w:t>
      </w:r>
      <w:r w:rsidRPr="00F54C45">
        <w:t xml:space="preserve"> to the successful implementation of the plan.</w:t>
      </w:r>
    </w:p>
    <w:p w14:paraId="4C07201D" w14:textId="2EC829AD" w:rsidR="00F754F2" w:rsidRPr="00F54C45" w:rsidRDefault="00F754F2" w:rsidP="00A56D73">
      <w:pPr>
        <w:spacing w:after="0"/>
      </w:pPr>
      <w:r w:rsidRPr="00F54C45">
        <w:t>The following table presents the synthesis of the Action Plan and the respective monitoring as well as the responsible services or groups of the IPT community:</w:t>
      </w:r>
    </w:p>
    <w:p w14:paraId="4FF39A14" w14:textId="77777777" w:rsidR="00F754F2" w:rsidRPr="00F54C45" w:rsidRDefault="00F754F2" w:rsidP="00A56D73">
      <w:pPr>
        <w:spacing w:after="0"/>
      </w:pPr>
    </w:p>
    <w:p w14:paraId="67B2543A" w14:textId="77777777" w:rsidR="00814D5B" w:rsidRPr="00F54C45" w:rsidRDefault="00814D5B" w:rsidP="00814D5B">
      <w:pPr>
        <w:spacing w:after="0"/>
      </w:pPr>
      <w:r w:rsidRPr="00F54C45">
        <w:t xml:space="preserve">CIS - Computer and Systems Centre; </w:t>
      </w:r>
    </w:p>
    <w:p w14:paraId="3F561CEC" w14:textId="77777777" w:rsidR="00814D5B" w:rsidRPr="00F54C45" w:rsidRDefault="00814D5B" w:rsidP="00814D5B">
      <w:pPr>
        <w:spacing w:after="0"/>
      </w:pPr>
      <w:r w:rsidRPr="00F54C45">
        <w:t>DRH - Human Resources Division.</w:t>
      </w:r>
    </w:p>
    <w:p w14:paraId="65A05A21" w14:textId="77777777" w:rsidR="00814D5B" w:rsidRPr="00F54C45" w:rsidRDefault="00814D5B" w:rsidP="00814D5B">
      <w:pPr>
        <w:spacing w:after="0"/>
      </w:pPr>
      <w:r w:rsidRPr="00F54C45">
        <w:t xml:space="preserve">DSA - Academic Services Division; </w:t>
      </w:r>
    </w:p>
    <w:p w14:paraId="53AEA05E" w14:textId="77777777" w:rsidR="00814D5B" w:rsidRPr="00F54C45" w:rsidRDefault="00814D5B" w:rsidP="00814D5B">
      <w:pPr>
        <w:spacing w:after="0"/>
      </w:pPr>
      <w:r w:rsidRPr="00F54C45">
        <w:t xml:space="preserve">GCRP - Communication and Public Relations Office; </w:t>
      </w:r>
    </w:p>
    <w:p w14:paraId="6D4B2411" w14:textId="77777777" w:rsidR="00814D5B" w:rsidRPr="00F54C45" w:rsidRDefault="00814D5B" w:rsidP="00814D5B">
      <w:pPr>
        <w:spacing w:after="0"/>
      </w:pPr>
      <w:r w:rsidRPr="00F54C45">
        <w:t xml:space="preserve">GDI - Diversity and Inclusion Group </w:t>
      </w:r>
    </w:p>
    <w:p w14:paraId="76B38BEB" w14:textId="77777777" w:rsidR="00814D5B" w:rsidRPr="00F54C45" w:rsidRDefault="00814D5B" w:rsidP="00814D5B">
      <w:pPr>
        <w:spacing w:after="0"/>
      </w:pPr>
      <w:r w:rsidRPr="00F54C45">
        <w:t xml:space="preserve">GJ - Legal Office; </w:t>
      </w:r>
    </w:p>
    <w:p w14:paraId="610BBE5D" w14:textId="77777777" w:rsidR="00814D5B" w:rsidRPr="00F54C45" w:rsidRDefault="00814D5B" w:rsidP="00814D5B">
      <w:pPr>
        <w:spacing w:after="0"/>
      </w:pPr>
      <w:r w:rsidRPr="00F54C45">
        <w:t xml:space="preserve">GRI - International Relations Office; </w:t>
      </w:r>
    </w:p>
    <w:p w14:paraId="1A92E9B4" w14:textId="77777777" w:rsidR="00814D5B" w:rsidRPr="00F54C45" w:rsidRDefault="00814D5B" w:rsidP="00814D5B">
      <w:pPr>
        <w:spacing w:after="0"/>
      </w:pPr>
      <w:r w:rsidRPr="00F54C45">
        <w:t xml:space="preserve">GTNorma - Work Group for Reconciliation of Professional, Personal and Family Life; </w:t>
      </w:r>
    </w:p>
    <w:p w14:paraId="5DFA4F80" w14:textId="77777777" w:rsidR="004E0EF2" w:rsidRPr="00F54C45" w:rsidRDefault="004E0EF2" w:rsidP="00A56D73">
      <w:pPr>
        <w:spacing w:after="0"/>
      </w:pPr>
    </w:p>
    <w:p w14:paraId="537DD4D6" w14:textId="77777777" w:rsidR="001C6DBF" w:rsidRPr="00F54C45" w:rsidRDefault="001C6DBF" w:rsidP="006C1EF2"/>
    <w:p w14:paraId="662C29F3" w14:textId="77777777" w:rsidR="00A313D8" w:rsidRPr="00F54C45" w:rsidRDefault="00A313D8" w:rsidP="006C1EF2">
      <w:pPr>
        <w:sectPr w:rsidR="00A313D8" w:rsidRPr="00F54C45">
          <w:headerReference w:type="even" r:id="rId10"/>
          <w:footerReference w:type="default" r:id="rId11"/>
          <w:headerReference w:type="first" r:id="rId12"/>
          <w:pgSz w:w="11906" w:h="16838"/>
          <w:pgMar w:top="1417" w:right="1701" w:bottom="1417" w:left="1701" w:header="708" w:footer="708" w:gutter="0"/>
          <w:cols w:space="708"/>
          <w:docGrid w:linePitch="360"/>
        </w:sectPr>
      </w:pPr>
    </w:p>
    <w:tbl>
      <w:tblPr>
        <w:tblStyle w:val="Tabelacomgrade"/>
        <w:tblW w:w="14743" w:type="dxa"/>
        <w:tblInd w:w="-431" w:type="dxa"/>
        <w:tblLayout w:type="fixed"/>
        <w:tblLook w:val="04A0" w:firstRow="1" w:lastRow="0" w:firstColumn="1" w:lastColumn="0" w:noHBand="0" w:noVBand="1"/>
      </w:tblPr>
      <w:tblGrid>
        <w:gridCol w:w="2549"/>
        <w:gridCol w:w="3226"/>
        <w:gridCol w:w="1983"/>
        <w:gridCol w:w="2156"/>
        <w:gridCol w:w="710"/>
        <w:gridCol w:w="709"/>
        <w:gridCol w:w="717"/>
        <w:gridCol w:w="2693"/>
      </w:tblGrid>
      <w:tr w:rsidR="004F4854" w:rsidRPr="00F54C45" w14:paraId="349D77E1" w14:textId="122DE8AB" w:rsidTr="00A80FBB">
        <w:trPr>
          <w:cantSplit/>
        </w:trPr>
        <w:tc>
          <w:tcPr>
            <w:tcW w:w="14743" w:type="dxa"/>
            <w:gridSpan w:val="8"/>
            <w:shd w:val="clear" w:color="auto" w:fill="FFC000"/>
            <w:vAlign w:val="center"/>
          </w:tcPr>
          <w:p w14:paraId="0643A617" w14:textId="1208A1CE" w:rsidR="004F4854" w:rsidRPr="00F54C45" w:rsidRDefault="00814D5B" w:rsidP="00AA09FC">
            <w:pPr>
              <w:spacing w:after="0" w:line="240" w:lineRule="auto"/>
              <w:jc w:val="center"/>
              <w:rPr>
                <w:sz w:val="22"/>
                <w:szCs w:val="22"/>
              </w:rPr>
            </w:pPr>
            <w:bookmarkStart w:id="10" w:name="_Hlk89699191"/>
            <w:r w:rsidRPr="00F54C45">
              <w:rPr>
                <w:sz w:val="22"/>
                <w:szCs w:val="22"/>
              </w:rPr>
              <w:lastRenderedPageBreak/>
              <w:t>Plan for Gender Equality, Inclusion and Diversity - IPT - 2022-2024</w:t>
            </w:r>
          </w:p>
        </w:tc>
      </w:tr>
      <w:tr w:rsidR="004F4854" w:rsidRPr="00F54C45" w14:paraId="3B82A9D9" w14:textId="77777777" w:rsidTr="00A80FBB">
        <w:trPr>
          <w:cantSplit/>
        </w:trPr>
        <w:tc>
          <w:tcPr>
            <w:tcW w:w="14743" w:type="dxa"/>
            <w:gridSpan w:val="8"/>
            <w:shd w:val="clear" w:color="auto" w:fill="92D050"/>
            <w:vAlign w:val="center"/>
          </w:tcPr>
          <w:p w14:paraId="7564EA6F" w14:textId="51474936" w:rsidR="004F4854" w:rsidRPr="00F54C45" w:rsidRDefault="00814D5B" w:rsidP="00AA09FC">
            <w:pPr>
              <w:spacing w:after="0" w:line="240" w:lineRule="auto"/>
              <w:jc w:val="center"/>
              <w:rPr>
                <w:sz w:val="22"/>
                <w:szCs w:val="22"/>
              </w:rPr>
            </w:pPr>
            <w:r w:rsidRPr="00F54C45">
              <w:rPr>
                <w:sz w:val="22"/>
                <w:szCs w:val="22"/>
              </w:rPr>
              <w:t>Priority Area</w:t>
            </w:r>
            <w:r w:rsidR="004F4854" w:rsidRPr="00F54C45">
              <w:rPr>
                <w:sz w:val="22"/>
                <w:szCs w:val="22"/>
              </w:rPr>
              <w:t xml:space="preserve"> 1 – Governan</w:t>
            </w:r>
            <w:r w:rsidRPr="00F54C45">
              <w:rPr>
                <w:sz w:val="22"/>
                <w:szCs w:val="22"/>
              </w:rPr>
              <w:t>ce</w:t>
            </w:r>
            <w:r w:rsidR="004F4854" w:rsidRPr="00F54C45">
              <w:rPr>
                <w:sz w:val="22"/>
                <w:szCs w:val="22"/>
              </w:rPr>
              <w:t xml:space="preserve"> </w:t>
            </w:r>
          </w:p>
        </w:tc>
      </w:tr>
      <w:tr w:rsidR="00430035" w:rsidRPr="00F54C45" w14:paraId="30867BE6" w14:textId="6C477C25" w:rsidTr="00A80FBB">
        <w:trPr>
          <w:cantSplit/>
        </w:trPr>
        <w:tc>
          <w:tcPr>
            <w:tcW w:w="2549" w:type="dxa"/>
            <w:vMerge w:val="restart"/>
            <w:shd w:val="clear" w:color="auto" w:fill="D9D9D9" w:themeFill="background1" w:themeFillShade="D9"/>
            <w:vAlign w:val="center"/>
          </w:tcPr>
          <w:p w14:paraId="180CC0AB" w14:textId="73614747" w:rsidR="00430035" w:rsidRPr="00F54C45" w:rsidRDefault="00814D5B" w:rsidP="001066B2">
            <w:pPr>
              <w:spacing w:after="0" w:line="240" w:lineRule="auto"/>
              <w:jc w:val="center"/>
              <w:rPr>
                <w:sz w:val="22"/>
                <w:szCs w:val="22"/>
              </w:rPr>
            </w:pPr>
            <w:r w:rsidRPr="00F54C45">
              <w:rPr>
                <w:sz w:val="22"/>
                <w:szCs w:val="22"/>
              </w:rPr>
              <w:t>Goals</w:t>
            </w:r>
          </w:p>
        </w:tc>
        <w:tc>
          <w:tcPr>
            <w:tcW w:w="3226" w:type="dxa"/>
            <w:vMerge w:val="restart"/>
            <w:shd w:val="clear" w:color="auto" w:fill="D9D9D9" w:themeFill="background1" w:themeFillShade="D9"/>
            <w:vAlign w:val="center"/>
          </w:tcPr>
          <w:p w14:paraId="3C481000" w14:textId="5C60DCA1" w:rsidR="00430035" w:rsidRPr="00F54C45" w:rsidRDefault="00430035" w:rsidP="001066B2">
            <w:pPr>
              <w:spacing w:after="0" w:line="240" w:lineRule="auto"/>
              <w:jc w:val="center"/>
              <w:rPr>
                <w:sz w:val="22"/>
                <w:szCs w:val="22"/>
              </w:rPr>
            </w:pPr>
            <w:r w:rsidRPr="00F54C45">
              <w:rPr>
                <w:sz w:val="22"/>
                <w:szCs w:val="22"/>
              </w:rPr>
              <w:t>A</w:t>
            </w:r>
            <w:r w:rsidR="00814D5B" w:rsidRPr="00F54C45">
              <w:rPr>
                <w:sz w:val="22"/>
                <w:szCs w:val="22"/>
              </w:rPr>
              <w:t>ctions</w:t>
            </w:r>
          </w:p>
        </w:tc>
        <w:tc>
          <w:tcPr>
            <w:tcW w:w="1983" w:type="dxa"/>
            <w:vMerge w:val="restart"/>
            <w:shd w:val="clear" w:color="auto" w:fill="D9D9D9" w:themeFill="background1" w:themeFillShade="D9"/>
            <w:vAlign w:val="center"/>
          </w:tcPr>
          <w:p w14:paraId="1F43B991" w14:textId="77777777" w:rsidR="00430035" w:rsidRPr="00F54C45" w:rsidRDefault="00430035" w:rsidP="001066B2">
            <w:pPr>
              <w:spacing w:after="0" w:line="240" w:lineRule="auto"/>
              <w:jc w:val="center"/>
              <w:rPr>
                <w:b/>
                <w:bCs/>
                <w:sz w:val="22"/>
                <w:szCs w:val="22"/>
              </w:rPr>
            </w:pPr>
            <w:r w:rsidRPr="00F54C45">
              <w:rPr>
                <w:b/>
                <w:bCs/>
                <w:sz w:val="22"/>
                <w:szCs w:val="22"/>
              </w:rPr>
              <w:t>Chair:</w:t>
            </w:r>
          </w:p>
          <w:p w14:paraId="339AAC76" w14:textId="5EB84878" w:rsidR="00430035" w:rsidRPr="00F54C45" w:rsidRDefault="00814D5B" w:rsidP="001066B2">
            <w:pPr>
              <w:spacing w:after="0" w:line="240" w:lineRule="auto"/>
              <w:jc w:val="center"/>
              <w:rPr>
                <w:sz w:val="22"/>
                <w:szCs w:val="22"/>
              </w:rPr>
            </w:pPr>
            <w:r w:rsidRPr="00F54C45">
              <w:rPr>
                <w:sz w:val="22"/>
                <w:szCs w:val="22"/>
              </w:rPr>
              <w:t>Staff</w:t>
            </w:r>
          </w:p>
        </w:tc>
        <w:tc>
          <w:tcPr>
            <w:tcW w:w="2156" w:type="dxa"/>
            <w:vMerge w:val="restart"/>
            <w:shd w:val="clear" w:color="auto" w:fill="D9D9D9" w:themeFill="background1" w:themeFillShade="D9"/>
            <w:vAlign w:val="center"/>
          </w:tcPr>
          <w:p w14:paraId="4FD70A40" w14:textId="3DFB0C32" w:rsidR="00430035" w:rsidRPr="00F54C45" w:rsidRDefault="00430035" w:rsidP="001066B2">
            <w:pPr>
              <w:spacing w:after="0" w:line="240" w:lineRule="auto"/>
              <w:jc w:val="center"/>
              <w:rPr>
                <w:sz w:val="22"/>
                <w:szCs w:val="22"/>
              </w:rPr>
            </w:pPr>
            <w:r w:rsidRPr="00F54C45">
              <w:rPr>
                <w:sz w:val="22"/>
                <w:szCs w:val="22"/>
              </w:rPr>
              <w:t>Indicator</w:t>
            </w:r>
          </w:p>
        </w:tc>
        <w:tc>
          <w:tcPr>
            <w:tcW w:w="2136" w:type="dxa"/>
            <w:gridSpan w:val="3"/>
            <w:shd w:val="clear" w:color="auto" w:fill="D9D9D9" w:themeFill="background1" w:themeFillShade="D9"/>
            <w:vAlign w:val="center"/>
          </w:tcPr>
          <w:p w14:paraId="75FF1FFD" w14:textId="149A8248" w:rsidR="00430035" w:rsidRPr="00F54C45" w:rsidRDefault="00430035" w:rsidP="001066B2">
            <w:pPr>
              <w:spacing w:after="0" w:line="240" w:lineRule="auto"/>
              <w:jc w:val="center"/>
              <w:rPr>
                <w:sz w:val="22"/>
                <w:szCs w:val="22"/>
              </w:rPr>
            </w:pPr>
            <w:r w:rsidRPr="00F54C45">
              <w:rPr>
                <w:sz w:val="22"/>
                <w:szCs w:val="22"/>
              </w:rPr>
              <w:t>Implementa</w:t>
            </w:r>
            <w:r w:rsidR="00814D5B" w:rsidRPr="00F54C45">
              <w:rPr>
                <w:sz w:val="22"/>
                <w:szCs w:val="22"/>
              </w:rPr>
              <w:t>tion</w:t>
            </w:r>
          </w:p>
        </w:tc>
        <w:tc>
          <w:tcPr>
            <w:tcW w:w="2693" w:type="dxa"/>
            <w:vMerge w:val="restart"/>
            <w:shd w:val="clear" w:color="auto" w:fill="D9D9D9" w:themeFill="background1" w:themeFillShade="D9"/>
            <w:vAlign w:val="center"/>
          </w:tcPr>
          <w:p w14:paraId="0D7295B3" w14:textId="7911EBE0" w:rsidR="00430035" w:rsidRPr="00F54C45" w:rsidRDefault="00430035" w:rsidP="001066B2">
            <w:pPr>
              <w:spacing w:after="0" w:line="240" w:lineRule="auto"/>
              <w:jc w:val="center"/>
              <w:rPr>
                <w:sz w:val="22"/>
                <w:szCs w:val="22"/>
              </w:rPr>
            </w:pPr>
            <w:r w:rsidRPr="00F54C45">
              <w:rPr>
                <w:sz w:val="22"/>
                <w:szCs w:val="22"/>
              </w:rPr>
              <w:t>Targets</w:t>
            </w:r>
          </w:p>
        </w:tc>
      </w:tr>
      <w:tr w:rsidR="00430035" w:rsidRPr="00F54C45" w14:paraId="2904DF72" w14:textId="7FE5AA0C" w:rsidTr="00A80FBB">
        <w:trPr>
          <w:cantSplit/>
        </w:trPr>
        <w:tc>
          <w:tcPr>
            <w:tcW w:w="2549" w:type="dxa"/>
            <w:vMerge/>
            <w:vAlign w:val="center"/>
          </w:tcPr>
          <w:p w14:paraId="324BEA24" w14:textId="77777777" w:rsidR="00430035" w:rsidRPr="00F54C45" w:rsidRDefault="00430035" w:rsidP="00AA09FC">
            <w:pPr>
              <w:spacing w:after="0" w:line="240" w:lineRule="auto"/>
              <w:jc w:val="center"/>
              <w:rPr>
                <w:sz w:val="22"/>
                <w:szCs w:val="22"/>
              </w:rPr>
            </w:pPr>
          </w:p>
        </w:tc>
        <w:tc>
          <w:tcPr>
            <w:tcW w:w="3226" w:type="dxa"/>
            <w:vMerge/>
            <w:vAlign w:val="center"/>
          </w:tcPr>
          <w:p w14:paraId="25623AC6" w14:textId="77777777" w:rsidR="00430035" w:rsidRPr="00F54C45" w:rsidRDefault="00430035" w:rsidP="00AA09FC">
            <w:pPr>
              <w:spacing w:after="0" w:line="240" w:lineRule="auto"/>
              <w:jc w:val="center"/>
              <w:rPr>
                <w:sz w:val="22"/>
                <w:szCs w:val="22"/>
              </w:rPr>
            </w:pPr>
          </w:p>
        </w:tc>
        <w:tc>
          <w:tcPr>
            <w:tcW w:w="1983" w:type="dxa"/>
            <w:vMerge/>
            <w:vAlign w:val="center"/>
          </w:tcPr>
          <w:p w14:paraId="447593A6" w14:textId="77777777" w:rsidR="00430035" w:rsidRPr="00F54C45" w:rsidRDefault="00430035" w:rsidP="00AA09FC">
            <w:pPr>
              <w:spacing w:after="0" w:line="240" w:lineRule="auto"/>
              <w:jc w:val="center"/>
              <w:rPr>
                <w:sz w:val="22"/>
                <w:szCs w:val="22"/>
              </w:rPr>
            </w:pPr>
          </w:p>
        </w:tc>
        <w:tc>
          <w:tcPr>
            <w:tcW w:w="2156" w:type="dxa"/>
            <w:vMerge/>
            <w:vAlign w:val="center"/>
          </w:tcPr>
          <w:p w14:paraId="6DAE1959" w14:textId="77777777" w:rsidR="00430035" w:rsidRPr="00F54C45" w:rsidRDefault="00430035" w:rsidP="00AA09FC">
            <w:pPr>
              <w:spacing w:after="0" w:line="240" w:lineRule="auto"/>
              <w:jc w:val="center"/>
              <w:rPr>
                <w:sz w:val="22"/>
                <w:szCs w:val="22"/>
              </w:rPr>
            </w:pPr>
          </w:p>
        </w:tc>
        <w:tc>
          <w:tcPr>
            <w:tcW w:w="710" w:type="dxa"/>
            <w:shd w:val="clear" w:color="auto" w:fill="D9D9D9" w:themeFill="background1" w:themeFillShade="D9"/>
            <w:vAlign w:val="center"/>
          </w:tcPr>
          <w:p w14:paraId="4B0F6790" w14:textId="38030727" w:rsidR="00430035" w:rsidRPr="00F54C45" w:rsidRDefault="00430035" w:rsidP="00AA09FC">
            <w:pPr>
              <w:spacing w:after="0" w:line="240" w:lineRule="auto"/>
              <w:jc w:val="center"/>
              <w:rPr>
                <w:sz w:val="22"/>
                <w:szCs w:val="22"/>
              </w:rPr>
            </w:pPr>
            <w:r w:rsidRPr="00F54C45">
              <w:rPr>
                <w:sz w:val="22"/>
                <w:szCs w:val="22"/>
              </w:rPr>
              <w:t>2022</w:t>
            </w:r>
          </w:p>
        </w:tc>
        <w:tc>
          <w:tcPr>
            <w:tcW w:w="709" w:type="dxa"/>
            <w:shd w:val="clear" w:color="auto" w:fill="D9D9D9" w:themeFill="background1" w:themeFillShade="D9"/>
            <w:vAlign w:val="center"/>
          </w:tcPr>
          <w:p w14:paraId="31536A3F" w14:textId="7CDD2AD0" w:rsidR="00430035" w:rsidRPr="00F54C45" w:rsidRDefault="00430035" w:rsidP="00AA09FC">
            <w:pPr>
              <w:spacing w:after="0" w:line="240" w:lineRule="auto"/>
              <w:jc w:val="center"/>
              <w:rPr>
                <w:sz w:val="22"/>
                <w:szCs w:val="22"/>
              </w:rPr>
            </w:pPr>
            <w:r w:rsidRPr="00F54C45">
              <w:rPr>
                <w:sz w:val="22"/>
                <w:szCs w:val="22"/>
              </w:rPr>
              <w:t>2023</w:t>
            </w:r>
          </w:p>
        </w:tc>
        <w:tc>
          <w:tcPr>
            <w:tcW w:w="717" w:type="dxa"/>
            <w:shd w:val="clear" w:color="auto" w:fill="D9D9D9" w:themeFill="background1" w:themeFillShade="D9"/>
            <w:vAlign w:val="center"/>
          </w:tcPr>
          <w:p w14:paraId="2745B3E9" w14:textId="1A368C0C" w:rsidR="00430035" w:rsidRPr="00F54C45" w:rsidRDefault="00430035" w:rsidP="00AA09FC">
            <w:pPr>
              <w:spacing w:after="0" w:line="240" w:lineRule="auto"/>
              <w:jc w:val="center"/>
              <w:rPr>
                <w:sz w:val="22"/>
                <w:szCs w:val="22"/>
              </w:rPr>
            </w:pPr>
            <w:r w:rsidRPr="00F54C45">
              <w:rPr>
                <w:sz w:val="22"/>
                <w:szCs w:val="22"/>
              </w:rPr>
              <w:t>2024</w:t>
            </w:r>
          </w:p>
        </w:tc>
        <w:tc>
          <w:tcPr>
            <w:tcW w:w="2693" w:type="dxa"/>
            <w:vMerge/>
            <w:vAlign w:val="center"/>
          </w:tcPr>
          <w:p w14:paraId="28B98D24" w14:textId="77777777" w:rsidR="00430035" w:rsidRPr="00F54C45" w:rsidRDefault="00430035" w:rsidP="00AA09FC">
            <w:pPr>
              <w:spacing w:after="0" w:line="240" w:lineRule="auto"/>
              <w:jc w:val="center"/>
              <w:rPr>
                <w:sz w:val="22"/>
                <w:szCs w:val="22"/>
              </w:rPr>
            </w:pPr>
          </w:p>
        </w:tc>
      </w:tr>
      <w:bookmarkEnd w:id="10"/>
      <w:tr w:rsidR="009B03D0" w:rsidRPr="00F54C45" w14:paraId="65CDFA07" w14:textId="71685E70" w:rsidTr="00A80FBB">
        <w:trPr>
          <w:cantSplit/>
        </w:trPr>
        <w:tc>
          <w:tcPr>
            <w:tcW w:w="2549" w:type="dxa"/>
            <w:vMerge w:val="restart"/>
          </w:tcPr>
          <w:p w14:paraId="3AFCF3FA" w14:textId="06D1C42C" w:rsidR="009B03D0" w:rsidRPr="00F54C45" w:rsidRDefault="00814D5B" w:rsidP="00AA09FC">
            <w:pPr>
              <w:spacing w:before="60" w:after="60" w:line="240" w:lineRule="auto"/>
              <w:jc w:val="left"/>
              <w:rPr>
                <w:sz w:val="22"/>
                <w:szCs w:val="22"/>
              </w:rPr>
            </w:pPr>
            <w:r w:rsidRPr="00F54C45">
              <w:rPr>
                <w:sz w:val="22"/>
                <w:szCs w:val="22"/>
              </w:rPr>
              <w:t>To incorporate the gender perspective in IPT's organizational culture</w:t>
            </w:r>
          </w:p>
        </w:tc>
        <w:tc>
          <w:tcPr>
            <w:tcW w:w="3226" w:type="dxa"/>
          </w:tcPr>
          <w:p w14:paraId="15289650" w14:textId="00958E3D" w:rsidR="009B03D0" w:rsidRPr="00F54C45" w:rsidRDefault="00344BFB" w:rsidP="00AA09FC">
            <w:pPr>
              <w:spacing w:before="60" w:after="60" w:line="240" w:lineRule="auto"/>
              <w:jc w:val="left"/>
              <w:rPr>
                <w:bCs/>
                <w:sz w:val="22"/>
                <w:szCs w:val="22"/>
              </w:rPr>
            </w:pPr>
            <w:r w:rsidRPr="00F54C45">
              <w:rPr>
                <w:sz w:val="22"/>
                <w:szCs w:val="22"/>
              </w:rPr>
              <w:t>1. Draft a proposal for a gender quality, inclusion and diversity policy at IPT</w:t>
            </w:r>
          </w:p>
        </w:tc>
        <w:tc>
          <w:tcPr>
            <w:tcW w:w="1983" w:type="dxa"/>
          </w:tcPr>
          <w:p w14:paraId="511B4265" w14:textId="4AF9A2A1" w:rsidR="009B03D0" w:rsidRPr="00F54C45" w:rsidRDefault="009B03D0" w:rsidP="00AA09FC">
            <w:pPr>
              <w:spacing w:before="60" w:after="60" w:line="240" w:lineRule="auto"/>
              <w:jc w:val="left"/>
              <w:rPr>
                <w:sz w:val="22"/>
                <w:szCs w:val="22"/>
              </w:rPr>
            </w:pPr>
            <w:r w:rsidRPr="00F54C45">
              <w:rPr>
                <w:b/>
                <w:bCs/>
                <w:sz w:val="22"/>
                <w:szCs w:val="22"/>
              </w:rPr>
              <w:t xml:space="preserve">GDI; </w:t>
            </w:r>
            <w:r w:rsidR="001D393A" w:rsidRPr="00F54C45">
              <w:rPr>
                <w:b/>
                <w:bCs/>
                <w:sz w:val="22"/>
                <w:szCs w:val="22"/>
              </w:rPr>
              <w:t>The Board</w:t>
            </w:r>
            <w:r w:rsidRPr="00F54C45">
              <w:rPr>
                <w:b/>
                <w:bCs/>
                <w:sz w:val="22"/>
                <w:szCs w:val="22"/>
              </w:rPr>
              <w:t>;</w:t>
            </w:r>
            <w:r w:rsidRPr="00F54C45">
              <w:rPr>
                <w:sz w:val="22"/>
                <w:szCs w:val="22"/>
              </w:rPr>
              <w:t xml:space="preserve"> GCRP</w:t>
            </w:r>
          </w:p>
        </w:tc>
        <w:tc>
          <w:tcPr>
            <w:tcW w:w="2156" w:type="dxa"/>
          </w:tcPr>
          <w:p w14:paraId="1DCEF389" w14:textId="20D7E7F1" w:rsidR="009B03D0" w:rsidRPr="00F54C45" w:rsidRDefault="001D393A" w:rsidP="00AA09FC">
            <w:pPr>
              <w:spacing w:before="60" w:after="60" w:line="240" w:lineRule="auto"/>
              <w:jc w:val="left"/>
              <w:rPr>
                <w:bCs/>
                <w:sz w:val="22"/>
                <w:szCs w:val="22"/>
              </w:rPr>
            </w:pPr>
            <w:r w:rsidRPr="00F54C45">
              <w:rPr>
                <w:sz w:val="22"/>
                <w:szCs w:val="22"/>
              </w:rPr>
              <w:t>Drafting, posting of gender equality and diversity policy.</w:t>
            </w:r>
          </w:p>
        </w:tc>
        <w:tc>
          <w:tcPr>
            <w:tcW w:w="710" w:type="dxa"/>
          </w:tcPr>
          <w:p w14:paraId="27619641" w14:textId="2AF9D3A1" w:rsidR="009B03D0" w:rsidRPr="00F54C45" w:rsidRDefault="009B03D0" w:rsidP="00AA09FC">
            <w:pPr>
              <w:spacing w:before="60" w:after="60" w:line="240" w:lineRule="auto"/>
              <w:jc w:val="center"/>
              <w:rPr>
                <w:sz w:val="22"/>
                <w:szCs w:val="22"/>
              </w:rPr>
            </w:pPr>
            <w:r w:rsidRPr="00F54C45">
              <w:rPr>
                <w:sz w:val="22"/>
                <w:szCs w:val="22"/>
              </w:rPr>
              <w:t>x</w:t>
            </w:r>
          </w:p>
        </w:tc>
        <w:tc>
          <w:tcPr>
            <w:tcW w:w="709" w:type="dxa"/>
          </w:tcPr>
          <w:p w14:paraId="27C14473" w14:textId="77777777" w:rsidR="009B03D0" w:rsidRPr="00F54C45" w:rsidRDefault="009B03D0" w:rsidP="00AA09FC">
            <w:pPr>
              <w:spacing w:before="60" w:after="60" w:line="240" w:lineRule="auto"/>
              <w:jc w:val="center"/>
              <w:rPr>
                <w:sz w:val="22"/>
                <w:szCs w:val="22"/>
              </w:rPr>
            </w:pPr>
          </w:p>
        </w:tc>
        <w:tc>
          <w:tcPr>
            <w:tcW w:w="717" w:type="dxa"/>
          </w:tcPr>
          <w:p w14:paraId="67EB62D1" w14:textId="77777777" w:rsidR="009B03D0" w:rsidRPr="00F54C45" w:rsidRDefault="009B03D0" w:rsidP="00AA09FC">
            <w:pPr>
              <w:spacing w:before="60" w:after="60" w:line="240" w:lineRule="auto"/>
              <w:jc w:val="center"/>
              <w:rPr>
                <w:sz w:val="22"/>
                <w:szCs w:val="22"/>
              </w:rPr>
            </w:pPr>
          </w:p>
        </w:tc>
        <w:tc>
          <w:tcPr>
            <w:tcW w:w="2693" w:type="dxa"/>
          </w:tcPr>
          <w:p w14:paraId="4BFBF003" w14:textId="1C6A9F16" w:rsidR="009B03D0" w:rsidRPr="00F54C45" w:rsidRDefault="00970E8B" w:rsidP="00AA09FC">
            <w:pPr>
              <w:spacing w:before="60" w:after="60" w:line="240" w:lineRule="auto"/>
              <w:jc w:val="left"/>
              <w:rPr>
                <w:bCs/>
                <w:sz w:val="22"/>
                <w:szCs w:val="22"/>
              </w:rPr>
            </w:pPr>
            <w:r w:rsidRPr="00F54C45">
              <w:rPr>
                <w:sz w:val="22"/>
                <w:szCs w:val="22"/>
              </w:rPr>
              <w:t>Policy posted until the end of 2022</w:t>
            </w:r>
          </w:p>
        </w:tc>
      </w:tr>
      <w:tr w:rsidR="009B03D0" w:rsidRPr="00F54C45" w14:paraId="2BFAA80B" w14:textId="1B3390B6" w:rsidTr="00A80FBB">
        <w:trPr>
          <w:cantSplit/>
        </w:trPr>
        <w:tc>
          <w:tcPr>
            <w:tcW w:w="2549" w:type="dxa"/>
            <w:vMerge/>
          </w:tcPr>
          <w:p w14:paraId="29FDC426" w14:textId="77777777" w:rsidR="009B03D0" w:rsidRPr="00F54C45" w:rsidRDefault="009B03D0" w:rsidP="00AA09FC">
            <w:pPr>
              <w:spacing w:before="60" w:after="60" w:line="240" w:lineRule="auto"/>
              <w:jc w:val="left"/>
              <w:rPr>
                <w:sz w:val="22"/>
                <w:szCs w:val="22"/>
              </w:rPr>
            </w:pPr>
          </w:p>
        </w:tc>
        <w:tc>
          <w:tcPr>
            <w:tcW w:w="3226" w:type="dxa"/>
          </w:tcPr>
          <w:p w14:paraId="075AA4F9" w14:textId="65CB3104" w:rsidR="009B03D0" w:rsidRPr="00F54C45" w:rsidRDefault="009B03D0" w:rsidP="00AA09FC">
            <w:pPr>
              <w:spacing w:before="60" w:after="60" w:line="240" w:lineRule="auto"/>
              <w:jc w:val="left"/>
              <w:rPr>
                <w:bCs/>
                <w:sz w:val="22"/>
                <w:szCs w:val="22"/>
              </w:rPr>
            </w:pPr>
            <w:r w:rsidRPr="00F54C45">
              <w:rPr>
                <w:sz w:val="22"/>
                <w:szCs w:val="22"/>
              </w:rPr>
              <w:t xml:space="preserve">2. </w:t>
            </w:r>
            <w:r w:rsidR="00344BFB" w:rsidRPr="00F54C45">
              <w:rPr>
                <w:sz w:val="22"/>
                <w:szCs w:val="22"/>
              </w:rPr>
              <w:t>Commit to promoting equality between women and men in the IPT's strategic plan</w:t>
            </w:r>
          </w:p>
        </w:tc>
        <w:tc>
          <w:tcPr>
            <w:tcW w:w="1983" w:type="dxa"/>
          </w:tcPr>
          <w:p w14:paraId="3B779CA7" w14:textId="7D0909E9" w:rsidR="009B03D0" w:rsidRPr="00F54C45" w:rsidRDefault="009B03D0" w:rsidP="00AA09FC">
            <w:pPr>
              <w:spacing w:before="60" w:after="60" w:line="240" w:lineRule="auto"/>
              <w:jc w:val="left"/>
              <w:rPr>
                <w:b/>
                <w:bCs/>
                <w:sz w:val="22"/>
                <w:szCs w:val="22"/>
              </w:rPr>
            </w:pPr>
            <w:r w:rsidRPr="00F54C45">
              <w:rPr>
                <w:b/>
                <w:bCs/>
                <w:sz w:val="22"/>
                <w:szCs w:val="22"/>
              </w:rPr>
              <w:t xml:space="preserve">GDI; </w:t>
            </w:r>
            <w:r w:rsidR="001D393A" w:rsidRPr="00F54C45">
              <w:rPr>
                <w:b/>
                <w:bCs/>
                <w:sz w:val="22"/>
                <w:szCs w:val="22"/>
              </w:rPr>
              <w:t>The Board</w:t>
            </w:r>
          </w:p>
        </w:tc>
        <w:tc>
          <w:tcPr>
            <w:tcW w:w="2156" w:type="dxa"/>
          </w:tcPr>
          <w:p w14:paraId="76C19558" w14:textId="638309F3" w:rsidR="009B03D0" w:rsidRPr="00F54C45" w:rsidRDefault="001D393A" w:rsidP="00AA09FC">
            <w:pPr>
              <w:spacing w:before="60" w:after="60" w:line="240" w:lineRule="auto"/>
              <w:jc w:val="left"/>
              <w:rPr>
                <w:bCs/>
                <w:sz w:val="22"/>
                <w:szCs w:val="22"/>
              </w:rPr>
            </w:pPr>
            <w:r w:rsidRPr="00F54C45">
              <w:rPr>
                <w:sz w:val="22"/>
                <w:szCs w:val="22"/>
              </w:rPr>
              <w:t>Commitment to equality in strategic plan.</w:t>
            </w:r>
          </w:p>
        </w:tc>
        <w:tc>
          <w:tcPr>
            <w:tcW w:w="710" w:type="dxa"/>
          </w:tcPr>
          <w:p w14:paraId="7B8B59A2" w14:textId="4B812277" w:rsidR="009B03D0" w:rsidRPr="00F54C45" w:rsidRDefault="009B03D0" w:rsidP="00AA09FC">
            <w:pPr>
              <w:spacing w:before="60" w:after="60" w:line="240" w:lineRule="auto"/>
              <w:jc w:val="center"/>
              <w:rPr>
                <w:sz w:val="22"/>
                <w:szCs w:val="22"/>
              </w:rPr>
            </w:pPr>
          </w:p>
        </w:tc>
        <w:tc>
          <w:tcPr>
            <w:tcW w:w="709" w:type="dxa"/>
          </w:tcPr>
          <w:p w14:paraId="0C50D906" w14:textId="77777777" w:rsidR="009B03D0" w:rsidRPr="00F54C45" w:rsidRDefault="009B03D0" w:rsidP="00AA09FC">
            <w:pPr>
              <w:spacing w:before="60" w:after="60" w:line="240" w:lineRule="auto"/>
              <w:jc w:val="center"/>
              <w:rPr>
                <w:sz w:val="22"/>
                <w:szCs w:val="22"/>
              </w:rPr>
            </w:pPr>
          </w:p>
        </w:tc>
        <w:tc>
          <w:tcPr>
            <w:tcW w:w="717" w:type="dxa"/>
          </w:tcPr>
          <w:p w14:paraId="06AA9767" w14:textId="3414045A" w:rsidR="009B03D0" w:rsidRPr="00F54C45" w:rsidRDefault="009B03D0" w:rsidP="00AA09FC">
            <w:pPr>
              <w:spacing w:before="60" w:after="60" w:line="240" w:lineRule="auto"/>
              <w:jc w:val="center"/>
              <w:rPr>
                <w:sz w:val="22"/>
                <w:szCs w:val="22"/>
              </w:rPr>
            </w:pPr>
            <w:r w:rsidRPr="00F54C45">
              <w:rPr>
                <w:sz w:val="22"/>
                <w:szCs w:val="22"/>
              </w:rPr>
              <w:t>x</w:t>
            </w:r>
          </w:p>
        </w:tc>
        <w:tc>
          <w:tcPr>
            <w:tcW w:w="2693" w:type="dxa"/>
          </w:tcPr>
          <w:p w14:paraId="244365FE" w14:textId="60D8E53A" w:rsidR="009B03D0" w:rsidRPr="00F54C45" w:rsidRDefault="00970E8B" w:rsidP="00AA09FC">
            <w:pPr>
              <w:spacing w:before="60" w:after="60" w:line="240" w:lineRule="auto"/>
              <w:jc w:val="left"/>
              <w:rPr>
                <w:bCs/>
                <w:sz w:val="22"/>
                <w:szCs w:val="22"/>
              </w:rPr>
            </w:pPr>
            <w:r w:rsidRPr="00F54C45">
              <w:rPr>
                <w:sz w:val="22"/>
                <w:szCs w:val="22"/>
              </w:rPr>
              <w:t>Strategic plan with commitment to M/H equality by the end of 2024</w:t>
            </w:r>
          </w:p>
        </w:tc>
      </w:tr>
      <w:tr w:rsidR="009B03D0" w:rsidRPr="00F54C45" w14:paraId="0A2E7988" w14:textId="48AC8CE0" w:rsidTr="00A80FBB">
        <w:trPr>
          <w:cantSplit/>
        </w:trPr>
        <w:tc>
          <w:tcPr>
            <w:tcW w:w="2549" w:type="dxa"/>
            <w:vMerge/>
          </w:tcPr>
          <w:p w14:paraId="4A0D8224" w14:textId="77777777" w:rsidR="009B03D0" w:rsidRPr="00F54C45" w:rsidRDefault="009B03D0" w:rsidP="00AA09FC">
            <w:pPr>
              <w:spacing w:before="60" w:after="60" w:line="240" w:lineRule="auto"/>
              <w:jc w:val="left"/>
              <w:rPr>
                <w:sz w:val="22"/>
                <w:szCs w:val="22"/>
              </w:rPr>
            </w:pPr>
          </w:p>
        </w:tc>
        <w:tc>
          <w:tcPr>
            <w:tcW w:w="3226" w:type="dxa"/>
          </w:tcPr>
          <w:p w14:paraId="0346783F" w14:textId="38D3DCBF" w:rsidR="009B03D0" w:rsidRPr="00F54C45" w:rsidRDefault="009B03D0" w:rsidP="00AA09FC">
            <w:pPr>
              <w:spacing w:before="60" w:after="60" w:line="240" w:lineRule="auto"/>
              <w:jc w:val="left"/>
              <w:rPr>
                <w:bCs/>
                <w:sz w:val="22"/>
                <w:szCs w:val="22"/>
              </w:rPr>
            </w:pPr>
            <w:r w:rsidRPr="00F54C45">
              <w:rPr>
                <w:sz w:val="22"/>
                <w:szCs w:val="22"/>
              </w:rPr>
              <w:t xml:space="preserve">3. </w:t>
            </w:r>
            <w:r w:rsidR="00822829" w:rsidRPr="00F54C45">
              <w:rPr>
                <w:sz w:val="22"/>
                <w:szCs w:val="22"/>
              </w:rPr>
              <w:t>Characterise the IPT community by gender and disability</w:t>
            </w:r>
          </w:p>
        </w:tc>
        <w:tc>
          <w:tcPr>
            <w:tcW w:w="1983" w:type="dxa"/>
            <w:shd w:val="clear" w:color="auto" w:fill="auto"/>
          </w:tcPr>
          <w:p w14:paraId="417FC235" w14:textId="46339278" w:rsidR="009B03D0" w:rsidRPr="00F54C45" w:rsidRDefault="009B03D0" w:rsidP="00D24AD1">
            <w:pPr>
              <w:spacing w:before="60" w:after="60" w:line="240" w:lineRule="auto"/>
              <w:jc w:val="left"/>
              <w:rPr>
                <w:bCs/>
                <w:sz w:val="22"/>
                <w:szCs w:val="22"/>
              </w:rPr>
            </w:pPr>
            <w:r w:rsidRPr="00F54C45">
              <w:rPr>
                <w:b/>
                <w:bCs/>
                <w:sz w:val="22"/>
                <w:szCs w:val="22"/>
              </w:rPr>
              <w:t xml:space="preserve">GDI; </w:t>
            </w:r>
            <w:r w:rsidRPr="00F54C45">
              <w:rPr>
                <w:sz w:val="22"/>
                <w:szCs w:val="22"/>
              </w:rPr>
              <w:t>DRH; DSA, CIS</w:t>
            </w:r>
          </w:p>
        </w:tc>
        <w:tc>
          <w:tcPr>
            <w:tcW w:w="2156" w:type="dxa"/>
          </w:tcPr>
          <w:p w14:paraId="5D4A435F" w14:textId="15B461D7" w:rsidR="009B03D0" w:rsidRPr="00F54C45" w:rsidRDefault="001D393A" w:rsidP="00AA09FC">
            <w:pPr>
              <w:spacing w:before="60" w:after="60" w:line="240" w:lineRule="auto"/>
              <w:jc w:val="left"/>
              <w:rPr>
                <w:bCs/>
                <w:sz w:val="22"/>
                <w:szCs w:val="22"/>
              </w:rPr>
            </w:pPr>
            <w:r w:rsidRPr="00F54C45">
              <w:rPr>
                <w:sz w:val="22"/>
                <w:szCs w:val="22"/>
              </w:rPr>
              <w:t>Annual Report on the GDI web page.</w:t>
            </w:r>
          </w:p>
        </w:tc>
        <w:tc>
          <w:tcPr>
            <w:tcW w:w="710" w:type="dxa"/>
          </w:tcPr>
          <w:p w14:paraId="0507755F" w14:textId="76F9FA91" w:rsidR="009B03D0" w:rsidRPr="00F54C45" w:rsidRDefault="009B03D0" w:rsidP="00AA09FC">
            <w:pPr>
              <w:spacing w:before="60" w:after="60" w:line="240" w:lineRule="auto"/>
              <w:jc w:val="center"/>
              <w:rPr>
                <w:sz w:val="22"/>
                <w:szCs w:val="22"/>
              </w:rPr>
            </w:pPr>
            <w:r w:rsidRPr="00F54C45">
              <w:rPr>
                <w:sz w:val="22"/>
                <w:szCs w:val="22"/>
              </w:rPr>
              <w:t>x</w:t>
            </w:r>
          </w:p>
        </w:tc>
        <w:tc>
          <w:tcPr>
            <w:tcW w:w="709" w:type="dxa"/>
          </w:tcPr>
          <w:p w14:paraId="38BADAD7" w14:textId="1D5BF8C2" w:rsidR="009B03D0" w:rsidRPr="00F54C45" w:rsidRDefault="009B03D0" w:rsidP="00AA09FC">
            <w:pPr>
              <w:spacing w:before="60" w:after="60" w:line="240" w:lineRule="auto"/>
              <w:jc w:val="center"/>
              <w:rPr>
                <w:sz w:val="22"/>
                <w:szCs w:val="22"/>
              </w:rPr>
            </w:pPr>
            <w:r w:rsidRPr="00F54C45">
              <w:rPr>
                <w:sz w:val="22"/>
                <w:szCs w:val="22"/>
              </w:rPr>
              <w:t>x</w:t>
            </w:r>
          </w:p>
        </w:tc>
        <w:tc>
          <w:tcPr>
            <w:tcW w:w="717" w:type="dxa"/>
          </w:tcPr>
          <w:p w14:paraId="798598D9" w14:textId="2C0B7BB9" w:rsidR="009B03D0" w:rsidRPr="00F54C45" w:rsidRDefault="009B03D0" w:rsidP="00AA09FC">
            <w:pPr>
              <w:spacing w:before="60" w:after="60" w:line="240" w:lineRule="auto"/>
              <w:jc w:val="center"/>
              <w:rPr>
                <w:sz w:val="22"/>
                <w:szCs w:val="22"/>
              </w:rPr>
            </w:pPr>
            <w:r w:rsidRPr="00F54C45">
              <w:rPr>
                <w:sz w:val="22"/>
                <w:szCs w:val="22"/>
              </w:rPr>
              <w:t>x</w:t>
            </w:r>
          </w:p>
        </w:tc>
        <w:tc>
          <w:tcPr>
            <w:tcW w:w="2693" w:type="dxa"/>
          </w:tcPr>
          <w:p w14:paraId="1EA551C8" w14:textId="7718D9EE" w:rsidR="009B03D0" w:rsidRPr="00F54C45" w:rsidRDefault="00970E8B" w:rsidP="00AA09FC">
            <w:pPr>
              <w:spacing w:before="60" w:after="60" w:line="240" w:lineRule="auto"/>
              <w:jc w:val="left"/>
              <w:rPr>
                <w:bCs/>
                <w:sz w:val="22"/>
                <w:szCs w:val="22"/>
              </w:rPr>
            </w:pPr>
            <w:r w:rsidRPr="00F54C45">
              <w:rPr>
                <w:sz w:val="22"/>
                <w:szCs w:val="22"/>
              </w:rPr>
              <w:t>Annual report available until the end of February of the following year</w:t>
            </w:r>
          </w:p>
        </w:tc>
      </w:tr>
      <w:tr w:rsidR="009B03D0" w:rsidRPr="00F54C45" w14:paraId="61650657" w14:textId="473F286B" w:rsidTr="00A80FBB">
        <w:trPr>
          <w:cantSplit/>
        </w:trPr>
        <w:tc>
          <w:tcPr>
            <w:tcW w:w="2549" w:type="dxa"/>
            <w:vMerge/>
          </w:tcPr>
          <w:p w14:paraId="33F91CD7" w14:textId="77777777" w:rsidR="009B03D0" w:rsidRPr="00F54C45" w:rsidRDefault="009B03D0" w:rsidP="00AA09FC">
            <w:pPr>
              <w:spacing w:before="60" w:after="60" w:line="240" w:lineRule="auto"/>
              <w:jc w:val="left"/>
              <w:rPr>
                <w:sz w:val="22"/>
                <w:szCs w:val="22"/>
              </w:rPr>
            </w:pPr>
          </w:p>
        </w:tc>
        <w:tc>
          <w:tcPr>
            <w:tcW w:w="3226" w:type="dxa"/>
          </w:tcPr>
          <w:p w14:paraId="76D4340D" w14:textId="1D80BB46" w:rsidR="009B03D0" w:rsidRPr="00F54C45" w:rsidRDefault="009B03D0" w:rsidP="00AA09FC">
            <w:pPr>
              <w:spacing w:before="60" w:after="60" w:line="240" w:lineRule="auto"/>
              <w:jc w:val="left"/>
              <w:rPr>
                <w:bCs/>
                <w:sz w:val="22"/>
                <w:szCs w:val="22"/>
              </w:rPr>
            </w:pPr>
            <w:r w:rsidRPr="00F54C45">
              <w:rPr>
                <w:sz w:val="22"/>
                <w:szCs w:val="22"/>
              </w:rPr>
              <w:t xml:space="preserve">4. </w:t>
            </w:r>
            <w:r w:rsidR="00822829" w:rsidRPr="00F54C45">
              <w:rPr>
                <w:sz w:val="22"/>
                <w:szCs w:val="22"/>
              </w:rPr>
              <w:t>Create an IPT Focus Group (FG) to diagnose the vision of workers on gender equality, gender stereotypes, articulation of professional, family and personal life, moral and sexual harassment at work.</w:t>
            </w:r>
          </w:p>
        </w:tc>
        <w:tc>
          <w:tcPr>
            <w:tcW w:w="1983" w:type="dxa"/>
          </w:tcPr>
          <w:p w14:paraId="45DDCFA8" w14:textId="0C38A10E" w:rsidR="009B03D0" w:rsidRPr="00F54C45" w:rsidRDefault="009B03D0" w:rsidP="00AA09FC">
            <w:pPr>
              <w:spacing w:before="60" w:after="60" w:line="240" w:lineRule="auto"/>
              <w:jc w:val="left"/>
              <w:rPr>
                <w:bCs/>
                <w:sz w:val="22"/>
                <w:szCs w:val="22"/>
              </w:rPr>
            </w:pPr>
            <w:r w:rsidRPr="00F54C45">
              <w:rPr>
                <w:b/>
                <w:bCs/>
                <w:sz w:val="22"/>
                <w:szCs w:val="22"/>
              </w:rPr>
              <w:t>GDI</w:t>
            </w:r>
            <w:r w:rsidRPr="00F54C45">
              <w:rPr>
                <w:sz w:val="22"/>
                <w:szCs w:val="22"/>
              </w:rPr>
              <w:t>; GCRP</w:t>
            </w:r>
          </w:p>
        </w:tc>
        <w:tc>
          <w:tcPr>
            <w:tcW w:w="2156" w:type="dxa"/>
          </w:tcPr>
          <w:p w14:paraId="75A2B6F8" w14:textId="4DFAB38D" w:rsidR="009B03D0" w:rsidRPr="00F54C45" w:rsidRDefault="009B03D0" w:rsidP="00AA09FC">
            <w:pPr>
              <w:spacing w:before="60" w:after="60" w:line="240" w:lineRule="auto"/>
              <w:jc w:val="left"/>
              <w:rPr>
                <w:sz w:val="22"/>
                <w:szCs w:val="22"/>
              </w:rPr>
            </w:pPr>
            <w:r w:rsidRPr="00F54C45">
              <w:rPr>
                <w:sz w:val="22"/>
                <w:szCs w:val="22"/>
              </w:rPr>
              <w:t xml:space="preserve">Focus Group; </w:t>
            </w:r>
          </w:p>
          <w:p w14:paraId="69744076" w14:textId="46087844" w:rsidR="009B03D0" w:rsidRPr="00F54C45" w:rsidRDefault="001D393A" w:rsidP="00AA09FC">
            <w:pPr>
              <w:spacing w:before="60" w:after="60" w:line="240" w:lineRule="auto"/>
              <w:jc w:val="left"/>
              <w:rPr>
                <w:bCs/>
                <w:sz w:val="22"/>
                <w:szCs w:val="22"/>
              </w:rPr>
            </w:pPr>
            <w:r w:rsidRPr="00F54C45">
              <w:rPr>
                <w:sz w:val="22"/>
                <w:szCs w:val="22"/>
              </w:rPr>
              <w:t>Diagnostic Report</w:t>
            </w:r>
          </w:p>
        </w:tc>
        <w:tc>
          <w:tcPr>
            <w:tcW w:w="710" w:type="dxa"/>
          </w:tcPr>
          <w:p w14:paraId="2BD9E64E" w14:textId="40C2D596" w:rsidR="009B03D0" w:rsidRPr="00F54C45" w:rsidRDefault="009B03D0" w:rsidP="00AA09FC">
            <w:pPr>
              <w:spacing w:before="60" w:after="60" w:line="240" w:lineRule="auto"/>
              <w:jc w:val="center"/>
              <w:rPr>
                <w:sz w:val="22"/>
                <w:szCs w:val="22"/>
              </w:rPr>
            </w:pPr>
            <w:r w:rsidRPr="00F54C45">
              <w:rPr>
                <w:sz w:val="22"/>
                <w:szCs w:val="22"/>
              </w:rPr>
              <w:t>x</w:t>
            </w:r>
          </w:p>
        </w:tc>
        <w:tc>
          <w:tcPr>
            <w:tcW w:w="709" w:type="dxa"/>
          </w:tcPr>
          <w:p w14:paraId="4BE34D6F" w14:textId="0D88A9B9" w:rsidR="009B03D0" w:rsidRPr="00F54C45" w:rsidRDefault="009B03D0" w:rsidP="00AA09FC">
            <w:pPr>
              <w:spacing w:before="60" w:after="60" w:line="240" w:lineRule="auto"/>
              <w:jc w:val="center"/>
              <w:rPr>
                <w:sz w:val="22"/>
                <w:szCs w:val="22"/>
              </w:rPr>
            </w:pPr>
            <w:r w:rsidRPr="00F54C45">
              <w:rPr>
                <w:sz w:val="22"/>
                <w:szCs w:val="22"/>
              </w:rPr>
              <w:t>x</w:t>
            </w:r>
          </w:p>
        </w:tc>
        <w:tc>
          <w:tcPr>
            <w:tcW w:w="717" w:type="dxa"/>
          </w:tcPr>
          <w:p w14:paraId="309426E1" w14:textId="4EE3C398" w:rsidR="009B03D0" w:rsidRPr="00F54C45" w:rsidRDefault="009B03D0" w:rsidP="00AA09FC">
            <w:pPr>
              <w:spacing w:before="60" w:after="60" w:line="240" w:lineRule="auto"/>
              <w:jc w:val="center"/>
              <w:rPr>
                <w:sz w:val="22"/>
                <w:szCs w:val="22"/>
              </w:rPr>
            </w:pPr>
            <w:r w:rsidRPr="00F54C45">
              <w:rPr>
                <w:sz w:val="22"/>
                <w:szCs w:val="22"/>
              </w:rPr>
              <w:t>x</w:t>
            </w:r>
          </w:p>
        </w:tc>
        <w:tc>
          <w:tcPr>
            <w:tcW w:w="2693" w:type="dxa"/>
          </w:tcPr>
          <w:p w14:paraId="70A6BFE6" w14:textId="77777777" w:rsidR="00970E8B" w:rsidRPr="00F54C45" w:rsidRDefault="00970E8B" w:rsidP="00970E8B">
            <w:pPr>
              <w:spacing w:before="60" w:after="60" w:line="240" w:lineRule="auto"/>
              <w:jc w:val="left"/>
              <w:rPr>
                <w:sz w:val="22"/>
                <w:szCs w:val="22"/>
              </w:rPr>
            </w:pPr>
            <w:r w:rsidRPr="00F54C45">
              <w:rPr>
                <w:sz w:val="22"/>
                <w:szCs w:val="22"/>
              </w:rPr>
              <w:t>Focus group by the end of 2022;</w:t>
            </w:r>
          </w:p>
          <w:p w14:paraId="5CFE64A4" w14:textId="481CD2AA" w:rsidR="009B03D0" w:rsidRPr="00F54C45" w:rsidRDefault="00970E8B" w:rsidP="00970E8B">
            <w:pPr>
              <w:spacing w:before="60" w:after="60" w:line="240" w:lineRule="auto"/>
              <w:jc w:val="left"/>
              <w:rPr>
                <w:sz w:val="22"/>
                <w:szCs w:val="22"/>
              </w:rPr>
            </w:pPr>
            <w:r w:rsidRPr="00F54C45">
              <w:rPr>
                <w:sz w:val="22"/>
                <w:szCs w:val="22"/>
              </w:rPr>
              <w:t>Diagnostic report by the end of February of the following year</w:t>
            </w:r>
          </w:p>
        </w:tc>
      </w:tr>
      <w:tr w:rsidR="009B03D0" w:rsidRPr="00F54C45" w14:paraId="53B9A028" w14:textId="2667C444" w:rsidTr="00A80FBB">
        <w:trPr>
          <w:cantSplit/>
        </w:trPr>
        <w:tc>
          <w:tcPr>
            <w:tcW w:w="2549" w:type="dxa"/>
            <w:vMerge/>
          </w:tcPr>
          <w:p w14:paraId="7BB126CC" w14:textId="42D8DEBF" w:rsidR="009B03D0" w:rsidRPr="00F54C45" w:rsidRDefault="009B03D0" w:rsidP="004E4A9B">
            <w:pPr>
              <w:spacing w:beforeLines="60" w:before="144" w:afterLines="60" w:after="144" w:line="240" w:lineRule="auto"/>
              <w:jc w:val="left"/>
              <w:rPr>
                <w:sz w:val="22"/>
                <w:szCs w:val="22"/>
              </w:rPr>
            </w:pPr>
          </w:p>
        </w:tc>
        <w:tc>
          <w:tcPr>
            <w:tcW w:w="3226" w:type="dxa"/>
          </w:tcPr>
          <w:p w14:paraId="562A4F3A" w14:textId="63753164" w:rsidR="009B03D0" w:rsidRPr="00F54C45" w:rsidRDefault="009B03D0" w:rsidP="00AA09FC">
            <w:pPr>
              <w:spacing w:before="60" w:after="60" w:line="240" w:lineRule="auto"/>
              <w:jc w:val="left"/>
              <w:rPr>
                <w:sz w:val="22"/>
                <w:szCs w:val="22"/>
              </w:rPr>
            </w:pPr>
            <w:r w:rsidRPr="00F54C45">
              <w:rPr>
                <w:sz w:val="22"/>
                <w:szCs w:val="22"/>
              </w:rPr>
              <w:t xml:space="preserve">5. </w:t>
            </w:r>
            <w:r w:rsidR="001D393A" w:rsidRPr="00F54C45">
              <w:rPr>
                <w:sz w:val="22"/>
                <w:szCs w:val="22"/>
              </w:rPr>
              <w:t>Training actions for employees focused on the topics of gender equality and non-discrimination.</w:t>
            </w:r>
          </w:p>
        </w:tc>
        <w:tc>
          <w:tcPr>
            <w:tcW w:w="1983" w:type="dxa"/>
          </w:tcPr>
          <w:p w14:paraId="302E4C4C" w14:textId="2BCA85C4" w:rsidR="009B03D0" w:rsidRPr="00F54C45" w:rsidRDefault="009B03D0" w:rsidP="00AA09FC">
            <w:pPr>
              <w:spacing w:before="60" w:after="60" w:line="240" w:lineRule="auto"/>
              <w:jc w:val="left"/>
              <w:rPr>
                <w:sz w:val="22"/>
                <w:szCs w:val="22"/>
              </w:rPr>
            </w:pPr>
            <w:r w:rsidRPr="00F54C45">
              <w:rPr>
                <w:b/>
                <w:sz w:val="22"/>
                <w:szCs w:val="22"/>
              </w:rPr>
              <w:t>GDI;</w:t>
            </w:r>
            <w:r w:rsidRPr="00F54C45">
              <w:rPr>
                <w:sz w:val="22"/>
                <w:szCs w:val="22"/>
              </w:rPr>
              <w:t xml:space="preserve"> DRH</w:t>
            </w:r>
          </w:p>
        </w:tc>
        <w:tc>
          <w:tcPr>
            <w:tcW w:w="2156" w:type="dxa"/>
          </w:tcPr>
          <w:p w14:paraId="08470A51" w14:textId="77777777" w:rsidR="00970E8B" w:rsidRPr="00F54C45" w:rsidRDefault="00970E8B" w:rsidP="00970E8B">
            <w:pPr>
              <w:spacing w:before="60" w:after="60" w:line="240" w:lineRule="auto"/>
              <w:jc w:val="left"/>
              <w:rPr>
                <w:sz w:val="22"/>
                <w:szCs w:val="22"/>
              </w:rPr>
            </w:pPr>
            <w:r w:rsidRPr="00F54C45">
              <w:rPr>
                <w:sz w:val="22"/>
                <w:szCs w:val="22"/>
              </w:rPr>
              <w:t xml:space="preserve">No. of training actions carried out; </w:t>
            </w:r>
          </w:p>
          <w:p w14:paraId="28636BCA" w14:textId="77777777" w:rsidR="00970E8B" w:rsidRPr="00F54C45" w:rsidRDefault="00970E8B" w:rsidP="00970E8B">
            <w:pPr>
              <w:spacing w:before="60" w:after="60" w:line="240" w:lineRule="auto"/>
              <w:jc w:val="left"/>
              <w:rPr>
                <w:sz w:val="22"/>
                <w:szCs w:val="22"/>
              </w:rPr>
            </w:pPr>
            <w:r w:rsidRPr="00F54C45">
              <w:rPr>
                <w:sz w:val="22"/>
                <w:szCs w:val="22"/>
              </w:rPr>
              <w:t>No. of participants;</w:t>
            </w:r>
          </w:p>
          <w:p w14:paraId="092AFE3A" w14:textId="77777777" w:rsidR="00970E8B" w:rsidRPr="00F54C45" w:rsidRDefault="00970E8B" w:rsidP="00970E8B">
            <w:pPr>
              <w:spacing w:before="60" w:after="60" w:line="240" w:lineRule="auto"/>
              <w:jc w:val="left"/>
              <w:rPr>
                <w:sz w:val="22"/>
                <w:szCs w:val="22"/>
              </w:rPr>
            </w:pPr>
            <w:r w:rsidRPr="00F54C45">
              <w:rPr>
                <w:sz w:val="22"/>
                <w:szCs w:val="22"/>
              </w:rPr>
              <w:t>No. of surveys filled out by participants;</w:t>
            </w:r>
          </w:p>
          <w:p w14:paraId="7B31CC7C" w14:textId="5167A261" w:rsidR="009B03D0" w:rsidRPr="00F54C45" w:rsidRDefault="00970E8B" w:rsidP="00970E8B">
            <w:pPr>
              <w:spacing w:before="60" w:after="60" w:line="240" w:lineRule="auto"/>
              <w:jc w:val="left"/>
              <w:rPr>
                <w:sz w:val="22"/>
                <w:szCs w:val="22"/>
              </w:rPr>
            </w:pPr>
            <w:r w:rsidRPr="00F54C45">
              <w:rPr>
                <w:sz w:val="22"/>
                <w:szCs w:val="22"/>
                <w:lang w:val="pt-PT"/>
              </w:rPr>
              <w:t>Evaluation report.</w:t>
            </w:r>
          </w:p>
        </w:tc>
        <w:tc>
          <w:tcPr>
            <w:tcW w:w="710" w:type="dxa"/>
          </w:tcPr>
          <w:p w14:paraId="407E98D3" w14:textId="43D101A7" w:rsidR="009B03D0" w:rsidRPr="00F54C45" w:rsidRDefault="009B03D0" w:rsidP="009770A2">
            <w:pPr>
              <w:spacing w:before="60" w:after="60" w:line="240" w:lineRule="auto"/>
              <w:jc w:val="center"/>
              <w:rPr>
                <w:sz w:val="22"/>
                <w:szCs w:val="22"/>
              </w:rPr>
            </w:pPr>
            <w:r w:rsidRPr="00F54C45">
              <w:rPr>
                <w:sz w:val="22"/>
                <w:szCs w:val="22"/>
              </w:rPr>
              <w:t>x</w:t>
            </w:r>
          </w:p>
        </w:tc>
        <w:tc>
          <w:tcPr>
            <w:tcW w:w="709" w:type="dxa"/>
          </w:tcPr>
          <w:p w14:paraId="2F140BD3" w14:textId="443934F7" w:rsidR="009B03D0" w:rsidRPr="00F54C45" w:rsidRDefault="009B03D0" w:rsidP="009770A2">
            <w:pPr>
              <w:spacing w:before="60" w:after="60" w:line="240" w:lineRule="auto"/>
              <w:jc w:val="center"/>
              <w:rPr>
                <w:sz w:val="22"/>
                <w:szCs w:val="22"/>
              </w:rPr>
            </w:pPr>
            <w:r w:rsidRPr="00F54C45">
              <w:rPr>
                <w:sz w:val="22"/>
                <w:szCs w:val="22"/>
              </w:rPr>
              <w:t>x</w:t>
            </w:r>
          </w:p>
        </w:tc>
        <w:tc>
          <w:tcPr>
            <w:tcW w:w="717" w:type="dxa"/>
          </w:tcPr>
          <w:p w14:paraId="43BF9941" w14:textId="61B1C4A4" w:rsidR="009B03D0" w:rsidRPr="00F54C45" w:rsidRDefault="009B03D0" w:rsidP="009770A2">
            <w:pPr>
              <w:spacing w:before="60" w:after="60" w:line="240" w:lineRule="auto"/>
              <w:jc w:val="center"/>
              <w:rPr>
                <w:sz w:val="22"/>
                <w:szCs w:val="22"/>
              </w:rPr>
            </w:pPr>
            <w:r w:rsidRPr="00F54C45">
              <w:rPr>
                <w:sz w:val="22"/>
                <w:szCs w:val="22"/>
              </w:rPr>
              <w:t>x</w:t>
            </w:r>
          </w:p>
        </w:tc>
        <w:tc>
          <w:tcPr>
            <w:tcW w:w="2693" w:type="dxa"/>
          </w:tcPr>
          <w:p w14:paraId="75E132A0" w14:textId="200CA607" w:rsidR="009B03D0" w:rsidRPr="00F54C45" w:rsidRDefault="00970E8B" w:rsidP="00AA09FC">
            <w:pPr>
              <w:spacing w:before="60" w:after="60" w:line="240" w:lineRule="auto"/>
              <w:jc w:val="left"/>
              <w:rPr>
                <w:sz w:val="22"/>
                <w:szCs w:val="22"/>
                <w:lang w:val="pt-PT"/>
              </w:rPr>
            </w:pPr>
            <w:r w:rsidRPr="00F54C45">
              <w:rPr>
                <w:sz w:val="22"/>
                <w:szCs w:val="22"/>
                <w:lang w:val="pt-PT"/>
              </w:rPr>
              <w:t xml:space="preserve">1 training </w:t>
            </w:r>
            <w:r w:rsidR="00F54C45" w:rsidRPr="00F54C45">
              <w:rPr>
                <w:sz w:val="22"/>
                <w:szCs w:val="22"/>
                <w:lang w:val="pt-PT"/>
              </w:rPr>
              <w:t>session</w:t>
            </w:r>
            <w:r w:rsidRPr="00F54C45">
              <w:rPr>
                <w:sz w:val="22"/>
                <w:szCs w:val="22"/>
                <w:lang w:val="pt-PT"/>
              </w:rPr>
              <w:t xml:space="preserve"> per year.</w:t>
            </w:r>
          </w:p>
        </w:tc>
      </w:tr>
      <w:tr w:rsidR="009B03D0" w:rsidRPr="00F54C45" w14:paraId="02EB5AF2" w14:textId="77777777" w:rsidTr="00A80FBB">
        <w:trPr>
          <w:cantSplit/>
        </w:trPr>
        <w:tc>
          <w:tcPr>
            <w:tcW w:w="14743" w:type="dxa"/>
            <w:gridSpan w:val="8"/>
            <w:shd w:val="clear" w:color="auto" w:fill="auto"/>
            <w:vAlign w:val="center"/>
          </w:tcPr>
          <w:p w14:paraId="1E2EC294" w14:textId="1426CC65" w:rsidR="009B03D0" w:rsidRPr="00F54C45" w:rsidRDefault="00814D5B" w:rsidP="00027396">
            <w:pPr>
              <w:spacing w:after="0" w:line="240" w:lineRule="auto"/>
              <w:jc w:val="center"/>
              <w:rPr>
                <w:sz w:val="22"/>
                <w:szCs w:val="22"/>
              </w:rPr>
            </w:pPr>
            <w:r w:rsidRPr="00F54C45">
              <w:rPr>
                <w:sz w:val="22"/>
                <w:szCs w:val="22"/>
              </w:rPr>
              <w:t>Priority Area</w:t>
            </w:r>
            <w:r w:rsidR="009B03D0" w:rsidRPr="00F54C45">
              <w:rPr>
                <w:sz w:val="22"/>
                <w:szCs w:val="22"/>
              </w:rPr>
              <w:t xml:space="preserve"> 1 – </w:t>
            </w:r>
            <w:r w:rsidR="00344BFB" w:rsidRPr="00F54C45">
              <w:rPr>
                <w:sz w:val="22"/>
                <w:szCs w:val="22"/>
              </w:rPr>
              <w:t>Governance (continued)</w:t>
            </w:r>
          </w:p>
        </w:tc>
      </w:tr>
      <w:tr w:rsidR="009B03D0" w:rsidRPr="00F54C45" w14:paraId="67F5C6CD" w14:textId="77777777" w:rsidTr="00A80FBB">
        <w:trPr>
          <w:cantSplit/>
        </w:trPr>
        <w:tc>
          <w:tcPr>
            <w:tcW w:w="2549" w:type="dxa"/>
            <w:vMerge w:val="restart"/>
            <w:shd w:val="clear" w:color="auto" w:fill="D9D9D9" w:themeFill="background1" w:themeFillShade="D9"/>
            <w:vAlign w:val="center"/>
          </w:tcPr>
          <w:p w14:paraId="1A0CABB7" w14:textId="45412AED" w:rsidR="009B03D0" w:rsidRPr="00F54C45" w:rsidRDefault="00344BFB" w:rsidP="00027396">
            <w:pPr>
              <w:spacing w:after="0" w:line="240" w:lineRule="auto"/>
              <w:jc w:val="center"/>
              <w:rPr>
                <w:sz w:val="22"/>
                <w:szCs w:val="22"/>
              </w:rPr>
            </w:pPr>
            <w:r w:rsidRPr="00F54C45">
              <w:rPr>
                <w:sz w:val="22"/>
                <w:szCs w:val="22"/>
              </w:rPr>
              <w:t>Goals</w:t>
            </w:r>
          </w:p>
        </w:tc>
        <w:tc>
          <w:tcPr>
            <w:tcW w:w="3226" w:type="dxa"/>
            <w:vMerge w:val="restart"/>
            <w:shd w:val="clear" w:color="auto" w:fill="D9D9D9" w:themeFill="background1" w:themeFillShade="D9"/>
            <w:vAlign w:val="center"/>
          </w:tcPr>
          <w:p w14:paraId="73244EFE" w14:textId="5164D864" w:rsidR="009B03D0" w:rsidRPr="00F54C45" w:rsidRDefault="009B03D0" w:rsidP="00027396">
            <w:pPr>
              <w:spacing w:after="0" w:line="240" w:lineRule="auto"/>
              <w:jc w:val="center"/>
              <w:rPr>
                <w:sz w:val="22"/>
                <w:szCs w:val="22"/>
              </w:rPr>
            </w:pPr>
            <w:r w:rsidRPr="00F54C45">
              <w:rPr>
                <w:sz w:val="22"/>
                <w:szCs w:val="22"/>
              </w:rPr>
              <w:t>A</w:t>
            </w:r>
            <w:r w:rsidR="00344BFB" w:rsidRPr="00F54C45">
              <w:rPr>
                <w:sz w:val="22"/>
                <w:szCs w:val="22"/>
              </w:rPr>
              <w:t>ctions</w:t>
            </w:r>
          </w:p>
        </w:tc>
        <w:tc>
          <w:tcPr>
            <w:tcW w:w="1983" w:type="dxa"/>
            <w:vMerge w:val="restart"/>
            <w:shd w:val="clear" w:color="auto" w:fill="D9D9D9" w:themeFill="background1" w:themeFillShade="D9"/>
            <w:vAlign w:val="center"/>
          </w:tcPr>
          <w:p w14:paraId="52F74A01" w14:textId="77777777" w:rsidR="009B03D0" w:rsidRPr="00F54C45" w:rsidRDefault="009B03D0" w:rsidP="00027396">
            <w:pPr>
              <w:spacing w:after="0" w:line="240" w:lineRule="auto"/>
              <w:jc w:val="center"/>
              <w:rPr>
                <w:b/>
                <w:bCs/>
                <w:sz w:val="22"/>
                <w:szCs w:val="22"/>
              </w:rPr>
            </w:pPr>
            <w:r w:rsidRPr="00F54C45">
              <w:rPr>
                <w:b/>
                <w:bCs/>
                <w:sz w:val="22"/>
                <w:szCs w:val="22"/>
              </w:rPr>
              <w:t>Chair:</w:t>
            </w:r>
          </w:p>
          <w:p w14:paraId="73DED935" w14:textId="3A0DED0D" w:rsidR="009B03D0" w:rsidRPr="00F54C45" w:rsidRDefault="00344BFB" w:rsidP="00027396">
            <w:pPr>
              <w:spacing w:after="0" w:line="240" w:lineRule="auto"/>
              <w:jc w:val="center"/>
              <w:rPr>
                <w:sz w:val="22"/>
                <w:szCs w:val="22"/>
              </w:rPr>
            </w:pPr>
            <w:r w:rsidRPr="00F54C45">
              <w:rPr>
                <w:sz w:val="22"/>
                <w:szCs w:val="22"/>
              </w:rPr>
              <w:t>Staff</w:t>
            </w:r>
          </w:p>
        </w:tc>
        <w:tc>
          <w:tcPr>
            <w:tcW w:w="2156" w:type="dxa"/>
            <w:vMerge w:val="restart"/>
            <w:shd w:val="clear" w:color="auto" w:fill="D9D9D9" w:themeFill="background1" w:themeFillShade="D9"/>
            <w:vAlign w:val="center"/>
          </w:tcPr>
          <w:p w14:paraId="473FC615" w14:textId="77777777" w:rsidR="009B03D0" w:rsidRPr="00F54C45" w:rsidRDefault="009B03D0" w:rsidP="00027396">
            <w:pPr>
              <w:spacing w:after="0" w:line="240" w:lineRule="auto"/>
              <w:jc w:val="center"/>
              <w:rPr>
                <w:sz w:val="22"/>
                <w:szCs w:val="22"/>
              </w:rPr>
            </w:pPr>
            <w:r w:rsidRPr="00F54C45">
              <w:rPr>
                <w:sz w:val="22"/>
                <w:szCs w:val="22"/>
              </w:rPr>
              <w:t>Indicator</w:t>
            </w:r>
          </w:p>
        </w:tc>
        <w:tc>
          <w:tcPr>
            <w:tcW w:w="2136" w:type="dxa"/>
            <w:gridSpan w:val="3"/>
            <w:shd w:val="clear" w:color="auto" w:fill="D9D9D9" w:themeFill="background1" w:themeFillShade="D9"/>
            <w:vAlign w:val="center"/>
          </w:tcPr>
          <w:p w14:paraId="749EE8F8" w14:textId="49843922" w:rsidR="009B03D0" w:rsidRPr="00F54C45" w:rsidRDefault="009B03D0" w:rsidP="00027396">
            <w:pPr>
              <w:spacing w:after="0" w:line="240" w:lineRule="auto"/>
              <w:jc w:val="center"/>
              <w:rPr>
                <w:sz w:val="22"/>
                <w:szCs w:val="22"/>
              </w:rPr>
            </w:pPr>
            <w:r w:rsidRPr="00F54C45">
              <w:rPr>
                <w:sz w:val="22"/>
                <w:szCs w:val="22"/>
              </w:rPr>
              <w:t>Implementa</w:t>
            </w:r>
            <w:r w:rsidR="001D393A" w:rsidRPr="00F54C45">
              <w:rPr>
                <w:sz w:val="22"/>
                <w:szCs w:val="22"/>
              </w:rPr>
              <w:t>tion</w:t>
            </w:r>
          </w:p>
        </w:tc>
        <w:tc>
          <w:tcPr>
            <w:tcW w:w="2693" w:type="dxa"/>
            <w:shd w:val="clear" w:color="auto" w:fill="D9D9D9" w:themeFill="background1" w:themeFillShade="D9"/>
            <w:vAlign w:val="center"/>
          </w:tcPr>
          <w:p w14:paraId="0F5C6E07" w14:textId="77777777" w:rsidR="009B03D0" w:rsidRPr="00F54C45" w:rsidRDefault="009B03D0" w:rsidP="00027396">
            <w:pPr>
              <w:spacing w:after="0" w:line="240" w:lineRule="auto"/>
              <w:jc w:val="center"/>
              <w:rPr>
                <w:sz w:val="22"/>
                <w:szCs w:val="22"/>
              </w:rPr>
            </w:pPr>
            <w:r w:rsidRPr="00F54C45">
              <w:rPr>
                <w:sz w:val="22"/>
                <w:szCs w:val="22"/>
              </w:rPr>
              <w:t>Targets</w:t>
            </w:r>
          </w:p>
        </w:tc>
      </w:tr>
      <w:tr w:rsidR="009B03D0" w:rsidRPr="00F54C45" w14:paraId="2F15EEFB" w14:textId="77777777" w:rsidTr="00A80FBB">
        <w:trPr>
          <w:cantSplit/>
        </w:trPr>
        <w:tc>
          <w:tcPr>
            <w:tcW w:w="2549" w:type="dxa"/>
            <w:vMerge/>
            <w:vAlign w:val="center"/>
          </w:tcPr>
          <w:p w14:paraId="5AD89285" w14:textId="77777777" w:rsidR="009B03D0" w:rsidRPr="00F54C45" w:rsidRDefault="009B03D0" w:rsidP="00027396">
            <w:pPr>
              <w:spacing w:after="0" w:line="240" w:lineRule="auto"/>
              <w:jc w:val="center"/>
              <w:rPr>
                <w:sz w:val="22"/>
                <w:szCs w:val="22"/>
              </w:rPr>
            </w:pPr>
          </w:p>
        </w:tc>
        <w:tc>
          <w:tcPr>
            <w:tcW w:w="3226" w:type="dxa"/>
            <w:vMerge/>
            <w:vAlign w:val="center"/>
          </w:tcPr>
          <w:p w14:paraId="4179CF4F" w14:textId="77777777" w:rsidR="009B03D0" w:rsidRPr="00F54C45" w:rsidRDefault="009B03D0" w:rsidP="00027396">
            <w:pPr>
              <w:spacing w:after="0" w:line="240" w:lineRule="auto"/>
              <w:jc w:val="center"/>
              <w:rPr>
                <w:sz w:val="22"/>
                <w:szCs w:val="22"/>
              </w:rPr>
            </w:pPr>
          </w:p>
        </w:tc>
        <w:tc>
          <w:tcPr>
            <w:tcW w:w="1983" w:type="dxa"/>
            <w:vMerge/>
            <w:vAlign w:val="center"/>
          </w:tcPr>
          <w:p w14:paraId="7912DF1D" w14:textId="77777777" w:rsidR="009B03D0" w:rsidRPr="00F54C45" w:rsidRDefault="009B03D0" w:rsidP="00027396">
            <w:pPr>
              <w:spacing w:after="0" w:line="240" w:lineRule="auto"/>
              <w:jc w:val="center"/>
              <w:rPr>
                <w:sz w:val="22"/>
                <w:szCs w:val="22"/>
              </w:rPr>
            </w:pPr>
          </w:p>
        </w:tc>
        <w:tc>
          <w:tcPr>
            <w:tcW w:w="2156" w:type="dxa"/>
            <w:vMerge/>
            <w:vAlign w:val="center"/>
          </w:tcPr>
          <w:p w14:paraId="64065E6F" w14:textId="77777777" w:rsidR="009B03D0" w:rsidRPr="00F54C45" w:rsidRDefault="009B03D0" w:rsidP="00027396">
            <w:pPr>
              <w:spacing w:after="0" w:line="240" w:lineRule="auto"/>
              <w:jc w:val="center"/>
              <w:rPr>
                <w:sz w:val="22"/>
                <w:szCs w:val="22"/>
              </w:rPr>
            </w:pPr>
          </w:p>
        </w:tc>
        <w:tc>
          <w:tcPr>
            <w:tcW w:w="710" w:type="dxa"/>
            <w:shd w:val="clear" w:color="auto" w:fill="D9D9D9" w:themeFill="background1" w:themeFillShade="D9"/>
            <w:vAlign w:val="center"/>
          </w:tcPr>
          <w:p w14:paraId="6361AEC0" w14:textId="77777777" w:rsidR="009B03D0" w:rsidRPr="00F54C45" w:rsidRDefault="009B03D0" w:rsidP="00027396">
            <w:pPr>
              <w:spacing w:after="0" w:line="240" w:lineRule="auto"/>
              <w:jc w:val="center"/>
              <w:rPr>
                <w:sz w:val="22"/>
                <w:szCs w:val="22"/>
              </w:rPr>
            </w:pPr>
            <w:r w:rsidRPr="00F54C45">
              <w:rPr>
                <w:sz w:val="22"/>
                <w:szCs w:val="22"/>
              </w:rPr>
              <w:t>2022</w:t>
            </w:r>
          </w:p>
        </w:tc>
        <w:tc>
          <w:tcPr>
            <w:tcW w:w="709" w:type="dxa"/>
            <w:shd w:val="clear" w:color="auto" w:fill="D9D9D9" w:themeFill="background1" w:themeFillShade="D9"/>
            <w:vAlign w:val="center"/>
          </w:tcPr>
          <w:p w14:paraId="3579E134" w14:textId="77777777" w:rsidR="009B03D0" w:rsidRPr="00F54C45" w:rsidRDefault="009B03D0" w:rsidP="00027396">
            <w:pPr>
              <w:spacing w:after="0" w:line="240" w:lineRule="auto"/>
              <w:jc w:val="center"/>
              <w:rPr>
                <w:sz w:val="22"/>
                <w:szCs w:val="22"/>
              </w:rPr>
            </w:pPr>
            <w:r w:rsidRPr="00F54C45">
              <w:rPr>
                <w:sz w:val="22"/>
                <w:szCs w:val="22"/>
              </w:rPr>
              <w:t>2023</w:t>
            </w:r>
          </w:p>
        </w:tc>
        <w:tc>
          <w:tcPr>
            <w:tcW w:w="717" w:type="dxa"/>
            <w:shd w:val="clear" w:color="auto" w:fill="D9D9D9" w:themeFill="background1" w:themeFillShade="D9"/>
            <w:vAlign w:val="center"/>
          </w:tcPr>
          <w:p w14:paraId="1FC15F7C" w14:textId="77777777" w:rsidR="009B03D0" w:rsidRPr="00F54C45" w:rsidRDefault="009B03D0" w:rsidP="00027396">
            <w:pPr>
              <w:spacing w:after="0" w:line="240" w:lineRule="auto"/>
              <w:jc w:val="center"/>
              <w:rPr>
                <w:sz w:val="22"/>
                <w:szCs w:val="22"/>
              </w:rPr>
            </w:pPr>
            <w:r w:rsidRPr="00F54C45">
              <w:rPr>
                <w:sz w:val="22"/>
                <w:szCs w:val="22"/>
              </w:rPr>
              <w:t>2024</w:t>
            </w:r>
          </w:p>
        </w:tc>
        <w:tc>
          <w:tcPr>
            <w:tcW w:w="2693" w:type="dxa"/>
            <w:vAlign w:val="center"/>
          </w:tcPr>
          <w:p w14:paraId="5878D87C" w14:textId="77777777" w:rsidR="009B03D0" w:rsidRPr="00F54C45" w:rsidRDefault="009B03D0" w:rsidP="00027396">
            <w:pPr>
              <w:spacing w:after="0" w:line="240" w:lineRule="auto"/>
              <w:jc w:val="center"/>
              <w:rPr>
                <w:sz w:val="22"/>
                <w:szCs w:val="22"/>
              </w:rPr>
            </w:pPr>
          </w:p>
        </w:tc>
      </w:tr>
      <w:tr w:rsidR="00BD7D79" w:rsidRPr="00F54C45" w14:paraId="6CF589C4" w14:textId="77777777" w:rsidTr="00A80FBB">
        <w:trPr>
          <w:cantSplit/>
        </w:trPr>
        <w:tc>
          <w:tcPr>
            <w:tcW w:w="2549" w:type="dxa"/>
            <w:vMerge w:val="restart"/>
          </w:tcPr>
          <w:p w14:paraId="57E90F0D" w14:textId="563605DC" w:rsidR="00BD7D79" w:rsidRPr="00F54C45" w:rsidRDefault="00344BFB" w:rsidP="009B03D0">
            <w:pPr>
              <w:spacing w:beforeLines="60" w:before="144" w:afterLines="60" w:after="144" w:line="240" w:lineRule="auto"/>
              <w:jc w:val="left"/>
              <w:rPr>
                <w:sz w:val="22"/>
                <w:szCs w:val="22"/>
              </w:rPr>
            </w:pPr>
            <w:r w:rsidRPr="00F54C45">
              <w:rPr>
                <w:sz w:val="22"/>
                <w:szCs w:val="22"/>
              </w:rPr>
              <w:lastRenderedPageBreak/>
              <w:t>To incorporate the gender perspective in IPT's organizational culture</w:t>
            </w:r>
          </w:p>
        </w:tc>
        <w:tc>
          <w:tcPr>
            <w:tcW w:w="3226" w:type="dxa"/>
          </w:tcPr>
          <w:p w14:paraId="22F35C43" w14:textId="1C996EB6" w:rsidR="00BD7D79" w:rsidRPr="00F54C45" w:rsidRDefault="00BD7D79" w:rsidP="009B03D0">
            <w:pPr>
              <w:spacing w:beforeLines="60" w:before="144" w:afterLines="60" w:after="144" w:line="240" w:lineRule="auto"/>
              <w:jc w:val="left"/>
              <w:rPr>
                <w:sz w:val="22"/>
                <w:szCs w:val="22"/>
              </w:rPr>
            </w:pPr>
            <w:r w:rsidRPr="00F54C45">
              <w:rPr>
                <w:sz w:val="22"/>
                <w:szCs w:val="22"/>
              </w:rPr>
              <w:t>6</w:t>
            </w:r>
            <w:r w:rsidR="001D393A" w:rsidRPr="00F54C45">
              <w:rPr>
                <w:sz w:val="22"/>
                <w:szCs w:val="22"/>
              </w:rPr>
              <w:t>. Include information about the existence of the Diversity and Inclusion Group in the welcoming guides for new employees and students.</w:t>
            </w:r>
          </w:p>
        </w:tc>
        <w:tc>
          <w:tcPr>
            <w:tcW w:w="1983" w:type="dxa"/>
          </w:tcPr>
          <w:p w14:paraId="6D273773" w14:textId="73874B48" w:rsidR="00BD7D79" w:rsidRPr="00F54C45" w:rsidRDefault="00BD7D79" w:rsidP="009B03D0">
            <w:pPr>
              <w:spacing w:beforeLines="60" w:before="144" w:afterLines="60" w:after="144" w:line="240" w:lineRule="auto"/>
              <w:jc w:val="left"/>
              <w:rPr>
                <w:sz w:val="22"/>
                <w:szCs w:val="22"/>
              </w:rPr>
            </w:pPr>
            <w:r w:rsidRPr="00F54C45">
              <w:rPr>
                <w:b/>
                <w:sz w:val="22"/>
                <w:szCs w:val="22"/>
              </w:rPr>
              <w:t>GDI;</w:t>
            </w:r>
            <w:r w:rsidRPr="00F54C45">
              <w:rPr>
                <w:sz w:val="22"/>
                <w:szCs w:val="22"/>
              </w:rPr>
              <w:t xml:space="preserve"> GCRP</w:t>
            </w:r>
          </w:p>
        </w:tc>
        <w:tc>
          <w:tcPr>
            <w:tcW w:w="2156" w:type="dxa"/>
          </w:tcPr>
          <w:p w14:paraId="496A0774" w14:textId="77777777" w:rsidR="00970E8B" w:rsidRPr="00F54C45" w:rsidRDefault="00970E8B" w:rsidP="00970E8B">
            <w:pPr>
              <w:spacing w:beforeLines="60" w:before="144" w:afterLines="60" w:after="144" w:line="240" w:lineRule="auto"/>
              <w:jc w:val="left"/>
              <w:rPr>
                <w:sz w:val="22"/>
                <w:szCs w:val="22"/>
              </w:rPr>
            </w:pPr>
            <w:r w:rsidRPr="00F54C45">
              <w:rPr>
                <w:sz w:val="22"/>
                <w:szCs w:val="22"/>
              </w:rPr>
              <w:t xml:space="preserve">Text to be included in the guide for welcoming new employees; </w:t>
            </w:r>
          </w:p>
          <w:p w14:paraId="14873110" w14:textId="03ACC3C3" w:rsidR="00BD7D79" w:rsidRPr="00F54C45" w:rsidRDefault="00970E8B" w:rsidP="00970E8B">
            <w:pPr>
              <w:spacing w:beforeLines="60" w:before="144" w:afterLines="60" w:after="144" w:line="240" w:lineRule="auto"/>
              <w:jc w:val="left"/>
              <w:rPr>
                <w:sz w:val="22"/>
                <w:szCs w:val="22"/>
              </w:rPr>
            </w:pPr>
            <w:r w:rsidRPr="00F54C45">
              <w:rPr>
                <w:sz w:val="22"/>
                <w:szCs w:val="22"/>
              </w:rPr>
              <w:t>Text to be included in the guide for welcoming new students.</w:t>
            </w:r>
          </w:p>
        </w:tc>
        <w:tc>
          <w:tcPr>
            <w:tcW w:w="710" w:type="dxa"/>
          </w:tcPr>
          <w:p w14:paraId="2171F713" w14:textId="08BD365A" w:rsidR="00BD7D79" w:rsidRPr="00F54C45" w:rsidRDefault="00BD7D79" w:rsidP="009B03D0">
            <w:pPr>
              <w:spacing w:beforeLines="60" w:before="144" w:afterLines="60" w:after="144" w:line="240" w:lineRule="auto"/>
              <w:jc w:val="center"/>
              <w:rPr>
                <w:sz w:val="22"/>
                <w:szCs w:val="22"/>
              </w:rPr>
            </w:pPr>
            <w:r w:rsidRPr="00F54C45">
              <w:rPr>
                <w:sz w:val="22"/>
                <w:szCs w:val="22"/>
              </w:rPr>
              <w:t>x</w:t>
            </w:r>
          </w:p>
        </w:tc>
        <w:tc>
          <w:tcPr>
            <w:tcW w:w="709" w:type="dxa"/>
          </w:tcPr>
          <w:p w14:paraId="2C205996" w14:textId="77777777" w:rsidR="00BD7D79" w:rsidRPr="00F54C45" w:rsidRDefault="00BD7D79" w:rsidP="009B03D0">
            <w:pPr>
              <w:spacing w:beforeLines="60" w:before="144" w:afterLines="60" w:after="144" w:line="240" w:lineRule="auto"/>
              <w:jc w:val="center"/>
              <w:rPr>
                <w:sz w:val="22"/>
                <w:szCs w:val="22"/>
              </w:rPr>
            </w:pPr>
          </w:p>
        </w:tc>
        <w:tc>
          <w:tcPr>
            <w:tcW w:w="717" w:type="dxa"/>
          </w:tcPr>
          <w:p w14:paraId="7019A67B" w14:textId="77777777" w:rsidR="00BD7D79" w:rsidRPr="00F54C45" w:rsidRDefault="00BD7D79" w:rsidP="009B03D0">
            <w:pPr>
              <w:spacing w:beforeLines="60" w:before="144" w:afterLines="60" w:after="144" w:line="240" w:lineRule="auto"/>
              <w:jc w:val="center"/>
              <w:rPr>
                <w:sz w:val="22"/>
                <w:szCs w:val="22"/>
              </w:rPr>
            </w:pPr>
          </w:p>
        </w:tc>
        <w:tc>
          <w:tcPr>
            <w:tcW w:w="2693" w:type="dxa"/>
          </w:tcPr>
          <w:p w14:paraId="2314B878" w14:textId="0D64C940" w:rsidR="00BD7D79" w:rsidRPr="00F54C45" w:rsidRDefault="00970E8B" w:rsidP="009B03D0">
            <w:pPr>
              <w:spacing w:beforeLines="60" w:before="144" w:afterLines="60" w:after="144" w:line="240" w:lineRule="auto"/>
              <w:jc w:val="left"/>
              <w:rPr>
                <w:sz w:val="22"/>
                <w:szCs w:val="22"/>
              </w:rPr>
            </w:pPr>
            <w:r w:rsidRPr="00F54C45">
              <w:rPr>
                <w:sz w:val="22"/>
                <w:szCs w:val="22"/>
              </w:rPr>
              <w:t>2 texts produced to be included in the scripts; Information about the existence of the Diversity and Inclusion Group until the end of 2022</w:t>
            </w:r>
          </w:p>
        </w:tc>
      </w:tr>
      <w:tr w:rsidR="00BD7D79" w:rsidRPr="00F54C45" w14:paraId="6F22EACB" w14:textId="77777777" w:rsidTr="00A80FBB">
        <w:trPr>
          <w:cantSplit/>
        </w:trPr>
        <w:tc>
          <w:tcPr>
            <w:tcW w:w="2549" w:type="dxa"/>
            <w:vMerge/>
          </w:tcPr>
          <w:p w14:paraId="22B30A8F" w14:textId="77777777" w:rsidR="00BD7D79" w:rsidRPr="00F54C45" w:rsidRDefault="00BD7D79" w:rsidP="009B03D0">
            <w:pPr>
              <w:spacing w:beforeLines="60" w:before="144" w:afterLines="60" w:after="144" w:line="240" w:lineRule="auto"/>
              <w:jc w:val="left"/>
              <w:rPr>
                <w:sz w:val="22"/>
                <w:szCs w:val="22"/>
              </w:rPr>
            </w:pPr>
          </w:p>
        </w:tc>
        <w:tc>
          <w:tcPr>
            <w:tcW w:w="3226" w:type="dxa"/>
          </w:tcPr>
          <w:p w14:paraId="49A8C838" w14:textId="3807C832" w:rsidR="00BD7D79" w:rsidRPr="00F54C45" w:rsidRDefault="00BD7D79" w:rsidP="009B03D0">
            <w:pPr>
              <w:spacing w:beforeLines="60" w:before="144" w:afterLines="60" w:after="144" w:line="240" w:lineRule="auto"/>
              <w:jc w:val="left"/>
              <w:rPr>
                <w:sz w:val="22"/>
                <w:szCs w:val="22"/>
              </w:rPr>
            </w:pPr>
            <w:r w:rsidRPr="00F54C45">
              <w:rPr>
                <w:sz w:val="22"/>
                <w:szCs w:val="22"/>
              </w:rPr>
              <w:t xml:space="preserve">7. </w:t>
            </w:r>
            <w:r w:rsidR="001D393A" w:rsidRPr="00F54C45">
              <w:rPr>
                <w:sz w:val="22"/>
                <w:szCs w:val="22"/>
              </w:rPr>
              <w:t>Plan monitoring and evaluation after implementation</w:t>
            </w:r>
          </w:p>
        </w:tc>
        <w:tc>
          <w:tcPr>
            <w:tcW w:w="1983" w:type="dxa"/>
          </w:tcPr>
          <w:p w14:paraId="6B15F5FE" w14:textId="7691121A" w:rsidR="00BD7D79" w:rsidRPr="00F54C45" w:rsidRDefault="00BD7D79" w:rsidP="009B03D0">
            <w:pPr>
              <w:spacing w:beforeLines="60" w:before="144" w:afterLines="60" w:after="144" w:line="240" w:lineRule="auto"/>
              <w:jc w:val="left"/>
              <w:rPr>
                <w:b/>
                <w:bCs/>
                <w:sz w:val="22"/>
                <w:szCs w:val="22"/>
              </w:rPr>
            </w:pPr>
            <w:r w:rsidRPr="00F54C45">
              <w:rPr>
                <w:b/>
                <w:bCs/>
                <w:sz w:val="22"/>
                <w:szCs w:val="22"/>
              </w:rPr>
              <w:t>GDI</w:t>
            </w:r>
          </w:p>
        </w:tc>
        <w:tc>
          <w:tcPr>
            <w:tcW w:w="2156" w:type="dxa"/>
          </w:tcPr>
          <w:p w14:paraId="67926DE8" w14:textId="77777777" w:rsidR="00970E8B" w:rsidRPr="00F54C45" w:rsidRDefault="00970E8B" w:rsidP="00970E8B">
            <w:pPr>
              <w:spacing w:beforeLines="60" w:before="144" w:afterLines="60" w:after="144" w:line="240" w:lineRule="auto"/>
              <w:jc w:val="left"/>
              <w:rPr>
                <w:sz w:val="22"/>
                <w:szCs w:val="22"/>
              </w:rPr>
            </w:pPr>
            <w:r w:rsidRPr="00F54C45">
              <w:rPr>
                <w:sz w:val="22"/>
                <w:szCs w:val="22"/>
              </w:rPr>
              <w:t>Annual schedule with the measures to be carried out monthly;</w:t>
            </w:r>
          </w:p>
          <w:p w14:paraId="448AEF75" w14:textId="778F4069" w:rsidR="00BD7D79" w:rsidRPr="00F54C45" w:rsidRDefault="00970E8B" w:rsidP="00970E8B">
            <w:pPr>
              <w:spacing w:beforeLines="60" w:before="144" w:afterLines="60" w:after="144" w:line="240" w:lineRule="auto"/>
              <w:jc w:val="left"/>
              <w:rPr>
                <w:sz w:val="22"/>
                <w:szCs w:val="22"/>
              </w:rPr>
            </w:pPr>
            <w:r w:rsidRPr="00F54C45">
              <w:rPr>
                <w:sz w:val="22"/>
                <w:szCs w:val="22"/>
                <w:lang w:val="pt-PT"/>
              </w:rPr>
              <w:t>Evaluation report.</w:t>
            </w:r>
          </w:p>
        </w:tc>
        <w:tc>
          <w:tcPr>
            <w:tcW w:w="710" w:type="dxa"/>
          </w:tcPr>
          <w:p w14:paraId="211141C9" w14:textId="123BC0CE" w:rsidR="00BD7D79" w:rsidRPr="00F54C45" w:rsidRDefault="00BD7D79" w:rsidP="009B03D0">
            <w:pPr>
              <w:spacing w:beforeLines="60" w:before="144" w:afterLines="60" w:after="144" w:line="240" w:lineRule="auto"/>
              <w:jc w:val="center"/>
              <w:rPr>
                <w:sz w:val="22"/>
                <w:szCs w:val="22"/>
              </w:rPr>
            </w:pPr>
            <w:r w:rsidRPr="00F54C45">
              <w:rPr>
                <w:sz w:val="22"/>
                <w:szCs w:val="22"/>
              </w:rPr>
              <w:t>x</w:t>
            </w:r>
          </w:p>
        </w:tc>
        <w:tc>
          <w:tcPr>
            <w:tcW w:w="709" w:type="dxa"/>
          </w:tcPr>
          <w:p w14:paraId="2E156D2D" w14:textId="19606C17" w:rsidR="00BD7D79" w:rsidRPr="00F54C45" w:rsidRDefault="00BD7D79" w:rsidP="009B03D0">
            <w:pPr>
              <w:spacing w:beforeLines="60" w:before="144" w:afterLines="60" w:after="144" w:line="240" w:lineRule="auto"/>
              <w:jc w:val="center"/>
              <w:rPr>
                <w:sz w:val="22"/>
                <w:szCs w:val="22"/>
              </w:rPr>
            </w:pPr>
            <w:r w:rsidRPr="00F54C45">
              <w:rPr>
                <w:sz w:val="22"/>
                <w:szCs w:val="22"/>
              </w:rPr>
              <w:t>x</w:t>
            </w:r>
          </w:p>
        </w:tc>
        <w:tc>
          <w:tcPr>
            <w:tcW w:w="717" w:type="dxa"/>
          </w:tcPr>
          <w:p w14:paraId="070A10D2" w14:textId="231F6C40" w:rsidR="00BD7D79" w:rsidRPr="00F54C45" w:rsidRDefault="00BD7D79" w:rsidP="009B03D0">
            <w:pPr>
              <w:spacing w:beforeLines="60" w:before="144" w:afterLines="60" w:after="144" w:line="240" w:lineRule="auto"/>
              <w:jc w:val="center"/>
              <w:rPr>
                <w:sz w:val="22"/>
                <w:szCs w:val="22"/>
              </w:rPr>
            </w:pPr>
            <w:r w:rsidRPr="00F54C45">
              <w:rPr>
                <w:sz w:val="22"/>
                <w:szCs w:val="22"/>
              </w:rPr>
              <w:t>x</w:t>
            </w:r>
          </w:p>
        </w:tc>
        <w:tc>
          <w:tcPr>
            <w:tcW w:w="2693" w:type="dxa"/>
          </w:tcPr>
          <w:p w14:paraId="283407FB" w14:textId="67F4AF56" w:rsidR="00BD7D79" w:rsidRPr="00F54C45" w:rsidRDefault="00970E8B" w:rsidP="009B03D0">
            <w:pPr>
              <w:spacing w:beforeLines="60" w:before="144" w:afterLines="60" w:after="144" w:line="240" w:lineRule="auto"/>
              <w:jc w:val="left"/>
              <w:rPr>
                <w:sz w:val="22"/>
                <w:szCs w:val="22"/>
              </w:rPr>
            </w:pPr>
            <w:r w:rsidRPr="00F54C45">
              <w:rPr>
                <w:sz w:val="22"/>
                <w:szCs w:val="22"/>
              </w:rPr>
              <w:t>Biannual monitoring report by the end of July and annual evaluation report by the end of February of the following year.</w:t>
            </w:r>
          </w:p>
        </w:tc>
      </w:tr>
      <w:tr w:rsidR="00BD7D79" w:rsidRPr="00F54C45" w14:paraId="4002463B" w14:textId="77777777" w:rsidTr="00A80FBB">
        <w:trPr>
          <w:cantSplit/>
        </w:trPr>
        <w:tc>
          <w:tcPr>
            <w:tcW w:w="2549" w:type="dxa"/>
            <w:vMerge/>
          </w:tcPr>
          <w:p w14:paraId="299659F2" w14:textId="4D180764" w:rsidR="00BD7D79" w:rsidRPr="00F54C45" w:rsidRDefault="00BD7D79" w:rsidP="00631B89">
            <w:pPr>
              <w:spacing w:beforeLines="60" w:before="144" w:afterLines="60" w:after="144" w:line="240" w:lineRule="auto"/>
              <w:jc w:val="left"/>
              <w:rPr>
                <w:sz w:val="22"/>
                <w:szCs w:val="22"/>
              </w:rPr>
            </w:pPr>
          </w:p>
        </w:tc>
        <w:tc>
          <w:tcPr>
            <w:tcW w:w="3226" w:type="dxa"/>
          </w:tcPr>
          <w:p w14:paraId="0805577C" w14:textId="21B88EA4" w:rsidR="00BD7D79" w:rsidRPr="00F54C45" w:rsidRDefault="00BD7D79" w:rsidP="00631B89">
            <w:pPr>
              <w:spacing w:beforeLines="60" w:before="144" w:afterLines="60" w:after="144" w:line="240" w:lineRule="auto"/>
              <w:jc w:val="left"/>
              <w:rPr>
                <w:sz w:val="22"/>
                <w:szCs w:val="22"/>
              </w:rPr>
            </w:pPr>
            <w:r w:rsidRPr="00F54C45">
              <w:rPr>
                <w:sz w:val="22"/>
                <w:szCs w:val="22"/>
              </w:rPr>
              <w:t xml:space="preserve">8. </w:t>
            </w:r>
            <w:r w:rsidR="001D393A" w:rsidRPr="00F54C45">
              <w:rPr>
                <w:sz w:val="22"/>
                <w:szCs w:val="22"/>
              </w:rPr>
              <w:t>Disclosure of the annual evaluation report of IPT's Plan for Gender Equality;</w:t>
            </w:r>
          </w:p>
        </w:tc>
        <w:tc>
          <w:tcPr>
            <w:tcW w:w="1983" w:type="dxa"/>
          </w:tcPr>
          <w:p w14:paraId="4FF9D6DC" w14:textId="1255869B" w:rsidR="00BD7D79" w:rsidRPr="00F54C45" w:rsidRDefault="00BD7D79" w:rsidP="00631B89">
            <w:pPr>
              <w:spacing w:beforeLines="60" w:before="144" w:afterLines="60" w:after="144" w:line="240" w:lineRule="auto"/>
              <w:jc w:val="left"/>
              <w:rPr>
                <w:b/>
                <w:bCs/>
                <w:sz w:val="22"/>
                <w:szCs w:val="22"/>
              </w:rPr>
            </w:pPr>
            <w:r w:rsidRPr="00F54C45">
              <w:rPr>
                <w:b/>
                <w:bCs/>
                <w:sz w:val="22"/>
                <w:szCs w:val="22"/>
              </w:rPr>
              <w:t>GDI</w:t>
            </w:r>
          </w:p>
        </w:tc>
        <w:tc>
          <w:tcPr>
            <w:tcW w:w="2156" w:type="dxa"/>
          </w:tcPr>
          <w:p w14:paraId="28F20B9D" w14:textId="77777777" w:rsidR="00970E8B" w:rsidRPr="00F54C45" w:rsidRDefault="00970E8B" w:rsidP="00970E8B">
            <w:pPr>
              <w:spacing w:beforeLines="60" w:before="144" w:afterLines="60" w:after="144" w:line="240" w:lineRule="auto"/>
              <w:jc w:val="left"/>
              <w:rPr>
                <w:sz w:val="22"/>
                <w:szCs w:val="22"/>
              </w:rPr>
            </w:pPr>
            <w:r w:rsidRPr="00F54C45">
              <w:rPr>
                <w:sz w:val="22"/>
                <w:szCs w:val="22"/>
              </w:rPr>
              <w:t xml:space="preserve">Presentation of the annual evaluation report; </w:t>
            </w:r>
          </w:p>
          <w:p w14:paraId="3EB49335" w14:textId="68B43BE8" w:rsidR="00BD7D79" w:rsidRPr="00F54C45" w:rsidRDefault="00970E8B" w:rsidP="00970E8B">
            <w:pPr>
              <w:spacing w:beforeLines="60" w:before="144" w:afterLines="60" w:after="144" w:line="240" w:lineRule="auto"/>
              <w:jc w:val="left"/>
              <w:rPr>
                <w:sz w:val="22"/>
                <w:szCs w:val="22"/>
              </w:rPr>
            </w:pPr>
            <w:r w:rsidRPr="00F54C45">
              <w:rPr>
                <w:sz w:val="22"/>
                <w:szCs w:val="22"/>
              </w:rPr>
              <w:t>Satisfaction survey and collection of contributions.</w:t>
            </w:r>
          </w:p>
        </w:tc>
        <w:tc>
          <w:tcPr>
            <w:tcW w:w="710" w:type="dxa"/>
          </w:tcPr>
          <w:p w14:paraId="30803790" w14:textId="2E08CC2D" w:rsidR="00BD7D79" w:rsidRPr="00F54C45" w:rsidRDefault="00BD7D79" w:rsidP="00631B89">
            <w:pPr>
              <w:spacing w:beforeLines="60" w:before="144" w:afterLines="60" w:after="144" w:line="240" w:lineRule="auto"/>
              <w:jc w:val="center"/>
              <w:rPr>
                <w:sz w:val="22"/>
                <w:szCs w:val="22"/>
              </w:rPr>
            </w:pPr>
          </w:p>
        </w:tc>
        <w:tc>
          <w:tcPr>
            <w:tcW w:w="709" w:type="dxa"/>
          </w:tcPr>
          <w:p w14:paraId="41E06AF3" w14:textId="7D53BB41" w:rsidR="00BD7D79" w:rsidRPr="00F54C45" w:rsidRDefault="00BD7D79" w:rsidP="00631B89">
            <w:pPr>
              <w:spacing w:beforeLines="60" w:before="144" w:afterLines="60" w:after="144" w:line="240" w:lineRule="auto"/>
              <w:jc w:val="center"/>
              <w:rPr>
                <w:sz w:val="22"/>
                <w:szCs w:val="22"/>
              </w:rPr>
            </w:pPr>
            <w:r w:rsidRPr="00F54C45">
              <w:rPr>
                <w:sz w:val="22"/>
                <w:szCs w:val="22"/>
              </w:rPr>
              <w:t>x</w:t>
            </w:r>
          </w:p>
        </w:tc>
        <w:tc>
          <w:tcPr>
            <w:tcW w:w="717" w:type="dxa"/>
          </w:tcPr>
          <w:p w14:paraId="5973CBBC" w14:textId="1043A6F9" w:rsidR="00BD7D79" w:rsidRPr="00F54C45" w:rsidRDefault="00BD7D79" w:rsidP="00631B89">
            <w:pPr>
              <w:spacing w:beforeLines="60" w:before="144" w:afterLines="60" w:after="144" w:line="240" w:lineRule="auto"/>
              <w:jc w:val="center"/>
              <w:rPr>
                <w:sz w:val="22"/>
                <w:szCs w:val="22"/>
              </w:rPr>
            </w:pPr>
            <w:r w:rsidRPr="00F54C45">
              <w:rPr>
                <w:sz w:val="22"/>
                <w:szCs w:val="22"/>
              </w:rPr>
              <w:t>x</w:t>
            </w:r>
          </w:p>
        </w:tc>
        <w:tc>
          <w:tcPr>
            <w:tcW w:w="2693" w:type="dxa"/>
          </w:tcPr>
          <w:p w14:paraId="4A5BD4DF" w14:textId="155D6784" w:rsidR="00BD7D79" w:rsidRPr="00F54C45" w:rsidRDefault="00970E8B" w:rsidP="00631B89">
            <w:pPr>
              <w:spacing w:beforeLines="60" w:before="144" w:afterLines="60" w:after="144" w:line="240" w:lineRule="auto"/>
              <w:jc w:val="left"/>
              <w:rPr>
                <w:sz w:val="22"/>
                <w:szCs w:val="22"/>
              </w:rPr>
            </w:pPr>
            <w:r w:rsidRPr="00F54C45">
              <w:rPr>
                <w:sz w:val="22"/>
                <w:szCs w:val="22"/>
              </w:rPr>
              <w:t>Submission of the annual evaluation report of the IPT's Plan for Gender Equality by the end of March of the following year</w:t>
            </w:r>
          </w:p>
        </w:tc>
      </w:tr>
    </w:tbl>
    <w:p w14:paraId="793B123F" w14:textId="4E3002E1" w:rsidR="009770A2" w:rsidRPr="00F54C45" w:rsidRDefault="009770A2" w:rsidP="004E4A9B">
      <w:pPr>
        <w:spacing w:beforeLines="60" w:before="144" w:afterLines="60" w:after="144" w:line="240" w:lineRule="auto"/>
        <w:jc w:val="left"/>
      </w:pPr>
    </w:p>
    <w:p w14:paraId="22EB6069" w14:textId="47EE2795" w:rsidR="009B03D0" w:rsidRPr="00F54C45" w:rsidRDefault="009B03D0">
      <w:pPr>
        <w:spacing w:after="160" w:line="259" w:lineRule="auto"/>
        <w:jc w:val="left"/>
      </w:pPr>
      <w:r w:rsidRPr="00F54C45">
        <w:br w:type="page"/>
      </w:r>
    </w:p>
    <w:tbl>
      <w:tblPr>
        <w:tblStyle w:val="Tabelacomgrade"/>
        <w:tblW w:w="14454" w:type="dxa"/>
        <w:tblLayout w:type="fixed"/>
        <w:tblLook w:val="04A0" w:firstRow="1" w:lastRow="0" w:firstColumn="1" w:lastColumn="0" w:noHBand="0" w:noVBand="1"/>
      </w:tblPr>
      <w:tblGrid>
        <w:gridCol w:w="2118"/>
        <w:gridCol w:w="3228"/>
        <w:gridCol w:w="1989"/>
        <w:gridCol w:w="2124"/>
        <w:gridCol w:w="710"/>
        <w:gridCol w:w="709"/>
        <w:gridCol w:w="714"/>
        <w:gridCol w:w="2862"/>
      </w:tblGrid>
      <w:tr w:rsidR="00033D68" w:rsidRPr="00F54C45" w14:paraId="0BAC5103" w14:textId="77777777" w:rsidTr="00430035">
        <w:trPr>
          <w:cantSplit/>
        </w:trPr>
        <w:tc>
          <w:tcPr>
            <w:tcW w:w="14454" w:type="dxa"/>
            <w:gridSpan w:val="8"/>
            <w:shd w:val="clear" w:color="auto" w:fill="92D050"/>
            <w:vAlign w:val="center"/>
          </w:tcPr>
          <w:p w14:paraId="59F44949" w14:textId="7BCE1AFA" w:rsidR="00033D68" w:rsidRPr="00F54C45" w:rsidRDefault="00814D5B" w:rsidP="00027396">
            <w:pPr>
              <w:spacing w:after="0" w:line="240" w:lineRule="auto"/>
              <w:jc w:val="center"/>
              <w:rPr>
                <w:sz w:val="22"/>
                <w:szCs w:val="22"/>
              </w:rPr>
            </w:pPr>
            <w:r w:rsidRPr="00F54C45">
              <w:rPr>
                <w:sz w:val="22"/>
                <w:szCs w:val="22"/>
              </w:rPr>
              <w:lastRenderedPageBreak/>
              <w:t>Priority Area</w:t>
            </w:r>
            <w:r w:rsidR="00033D68" w:rsidRPr="00F54C45">
              <w:rPr>
                <w:sz w:val="22"/>
                <w:szCs w:val="22"/>
              </w:rPr>
              <w:t xml:space="preserve"> 2 – </w:t>
            </w:r>
            <w:r w:rsidR="00970E8B" w:rsidRPr="00F54C45">
              <w:rPr>
                <w:sz w:val="22"/>
                <w:szCs w:val="22"/>
              </w:rPr>
              <w:t>Internal and external communication, image and language</w:t>
            </w:r>
          </w:p>
        </w:tc>
      </w:tr>
      <w:tr w:rsidR="00970E8B" w:rsidRPr="00F54C45" w14:paraId="5F89C7A1" w14:textId="77777777" w:rsidTr="00430035">
        <w:trPr>
          <w:cantSplit/>
        </w:trPr>
        <w:tc>
          <w:tcPr>
            <w:tcW w:w="2118" w:type="dxa"/>
            <w:vMerge w:val="restart"/>
            <w:shd w:val="clear" w:color="auto" w:fill="D9D9D9" w:themeFill="background1" w:themeFillShade="D9"/>
            <w:vAlign w:val="center"/>
          </w:tcPr>
          <w:p w14:paraId="6CAC8B3F" w14:textId="7B852AC3" w:rsidR="00970E8B" w:rsidRPr="00F54C45" w:rsidRDefault="00970E8B" w:rsidP="00970E8B">
            <w:pPr>
              <w:spacing w:after="0" w:line="240" w:lineRule="auto"/>
              <w:jc w:val="center"/>
              <w:rPr>
                <w:sz w:val="22"/>
                <w:szCs w:val="22"/>
              </w:rPr>
            </w:pPr>
            <w:r w:rsidRPr="00F54C45">
              <w:rPr>
                <w:sz w:val="22"/>
                <w:szCs w:val="22"/>
              </w:rPr>
              <w:t>Goals</w:t>
            </w:r>
          </w:p>
        </w:tc>
        <w:tc>
          <w:tcPr>
            <w:tcW w:w="3228" w:type="dxa"/>
            <w:vMerge w:val="restart"/>
            <w:shd w:val="clear" w:color="auto" w:fill="D9D9D9" w:themeFill="background1" w:themeFillShade="D9"/>
            <w:vAlign w:val="center"/>
          </w:tcPr>
          <w:p w14:paraId="3266E1B4" w14:textId="5EB8EEC2" w:rsidR="00970E8B" w:rsidRPr="00F54C45" w:rsidRDefault="00970E8B" w:rsidP="00970E8B">
            <w:pPr>
              <w:spacing w:after="0" w:line="240" w:lineRule="auto"/>
              <w:jc w:val="center"/>
              <w:rPr>
                <w:sz w:val="22"/>
                <w:szCs w:val="22"/>
              </w:rPr>
            </w:pPr>
            <w:r w:rsidRPr="00F54C45">
              <w:rPr>
                <w:sz w:val="22"/>
                <w:szCs w:val="22"/>
              </w:rPr>
              <w:t>Actions</w:t>
            </w:r>
          </w:p>
        </w:tc>
        <w:tc>
          <w:tcPr>
            <w:tcW w:w="1989" w:type="dxa"/>
            <w:vMerge w:val="restart"/>
            <w:shd w:val="clear" w:color="auto" w:fill="D9D9D9" w:themeFill="background1" w:themeFillShade="D9"/>
            <w:vAlign w:val="center"/>
          </w:tcPr>
          <w:p w14:paraId="300A3823" w14:textId="77777777" w:rsidR="00970E8B" w:rsidRPr="00F54C45" w:rsidRDefault="00970E8B" w:rsidP="00970E8B">
            <w:pPr>
              <w:spacing w:after="0" w:line="240" w:lineRule="auto"/>
              <w:jc w:val="center"/>
              <w:rPr>
                <w:b/>
                <w:bCs/>
                <w:sz w:val="22"/>
                <w:szCs w:val="22"/>
              </w:rPr>
            </w:pPr>
            <w:r w:rsidRPr="00F54C45">
              <w:rPr>
                <w:b/>
                <w:bCs/>
                <w:sz w:val="22"/>
                <w:szCs w:val="22"/>
              </w:rPr>
              <w:t>Chair:</w:t>
            </w:r>
          </w:p>
          <w:p w14:paraId="2FED8CEF" w14:textId="13185715" w:rsidR="00970E8B" w:rsidRPr="00F54C45" w:rsidRDefault="00970E8B" w:rsidP="00970E8B">
            <w:pPr>
              <w:spacing w:after="0" w:line="240" w:lineRule="auto"/>
              <w:jc w:val="center"/>
              <w:rPr>
                <w:sz w:val="22"/>
                <w:szCs w:val="22"/>
              </w:rPr>
            </w:pPr>
            <w:r w:rsidRPr="00F54C45">
              <w:rPr>
                <w:sz w:val="22"/>
                <w:szCs w:val="22"/>
              </w:rPr>
              <w:t>Staff</w:t>
            </w:r>
          </w:p>
        </w:tc>
        <w:tc>
          <w:tcPr>
            <w:tcW w:w="2124" w:type="dxa"/>
            <w:vMerge w:val="restart"/>
            <w:shd w:val="clear" w:color="auto" w:fill="D9D9D9" w:themeFill="background1" w:themeFillShade="D9"/>
            <w:vAlign w:val="center"/>
          </w:tcPr>
          <w:p w14:paraId="47447ECC" w14:textId="298B1F8B" w:rsidR="00970E8B" w:rsidRPr="00F54C45" w:rsidRDefault="00970E8B" w:rsidP="00970E8B">
            <w:pPr>
              <w:spacing w:after="0" w:line="240" w:lineRule="auto"/>
              <w:jc w:val="center"/>
              <w:rPr>
                <w:sz w:val="22"/>
                <w:szCs w:val="22"/>
              </w:rPr>
            </w:pPr>
            <w:r w:rsidRPr="00F54C45">
              <w:rPr>
                <w:sz w:val="22"/>
                <w:szCs w:val="22"/>
              </w:rPr>
              <w:t>Indicator</w:t>
            </w:r>
          </w:p>
        </w:tc>
        <w:tc>
          <w:tcPr>
            <w:tcW w:w="2133" w:type="dxa"/>
            <w:gridSpan w:val="3"/>
            <w:shd w:val="clear" w:color="auto" w:fill="D9D9D9" w:themeFill="background1" w:themeFillShade="D9"/>
            <w:vAlign w:val="center"/>
          </w:tcPr>
          <w:p w14:paraId="29C12703" w14:textId="67B34B2B" w:rsidR="00970E8B" w:rsidRPr="00F54C45" w:rsidRDefault="00970E8B" w:rsidP="00970E8B">
            <w:pPr>
              <w:spacing w:after="0" w:line="240" w:lineRule="auto"/>
              <w:jc w:val="center"/>
              <w:rPr>
                <w:sz w:val="22"/>
                <w:szCs w:val="22"/>
              </w:rPr>
            </w:pPr>
            <w:r w:rsidRPr="00F54C45">
              <w:rPr>
                <w:sz w:val="22"/>
                <w:szCs w:val="22"/>
              </w:rPr>
              <w:t>Implementation</w:t>
            </w:r>
          </w:p>
        </w:tc>
        <w:tc>
          <w:tcPr>
            <w:tcW w:w="2862" w:type="dxa"/>
            <w:vMerge w:val="restart"/>
            <w:shd w:val="clear" w:color="auto" w:fill="D9D9D9" w:themeFill="background1" w:themeFillShade="D9"/>
            <w:vAlign w:val="center"/>
          </w:tcPr>
          <w:p w14:paraId="72025BD4" w14:textId="0EE0319A" w:rsidR="00970E8B" w:rsidRPr="00F54C45" w:rsidRDefault="00970E8B" w:rsidP="00970E8B">
            <w:pPr>
              <w:spacing w:after="0" w:line="240" w:lineRule="auto"/>
              <w:jc w:val="center"/>
              <w:rPr>
                <w:sz w:val="22"/>
                <w:szCs w:val="22"/>
              </w:rPr>
            </w:pPr>
            <w:r w:rsidRPr="00F54C45">
              <w:rPr>
                <w:sz w:val="22"/>
                <w:szCs w:val="22"/>
              </w:rPr>
              <w:t>Targets</w:t>
            </w:r>
          </w:p>
        </w:tc>
      </w:tr>
      <w:tr w:rsidR="00033D68" w:rsidRPr="00F54C45" w14:paraId="7CAAB628" w14:textId="77777777" w:rsidTr="00430035">
        <w:trPr>
          <w:cantSplit/>
        </w:trPr>
        <w:tc>
          <w:tcPr>
            <w:tcW w:w="2118" w:type="dxa"/>
            <w:vMerge/>
            <w:vAlign w:val="center"/>
          </w:tcPr>
          <w:p w14:paraId="43BC4FD1" w14:textId="77777777" w:rsidR="00033D68" w:rsidRPr="00F54C45" w:rsidRDefault="00033D68" w:rsidP="00027396">
            <w:pPr>
              <w:spacing w:after="0" w:line="240" w:lineRule="auto"/>
              <w:jc w:val="center"/>
              <w:rPr>
                <w:sz w:val="22"/>
                <w:szCs w:val="22"/>
              </w:rPr>
            </w:pPr>
          </w:p>
        </w:tc>
        <w:tc>
          <w:tcPr>
            <w:tcW w:w="3228" w:type="dxa"/>
            <w:vMerge/>
            <w:vAlign w:val="center"/>
          </w:tcPr>
          <w:p w14:paraId="2A4EE715" w14:textId="77777777" w:rsidR="00033D68" w:rsidRPr="00F54C45" w:rsidRDefault="00033D68" w:rsidP="00027396">
            <w:pPr>
              <w:spacing w:after="0" w:line="240" w:lineRule="auto"/>
              <w:jc w:val="center"/>
              <w:rPr>
                <w:sz w:val="22"/>
                <w:szCs w:val="22"/>
              </w:rPr>
            </w:pPr>
          </w:p>
        </w:tc>
        <w:tc>
          <w:tcPr>
            <w:tcW w:w="1989" w:type="dxa"/>
            <w:vMerge/>
            <w:vAlign w:val="center"/>
          </w:tcPr>
          <w:p w14:paraId="3003E885" w14:textId="77777777" w:rsidR="00033D68" w:rsidRPr="00F54C45" w:rsidRDefault="00033D68" w:rsidP="00027396">
            <w:pPr>
              <w:spacing w:after="0" w:line="240" w:lineRule="auto"/>
              <w:jc w:val="center"/>
              <w:rPr>
                <w:sz w:val="22"/>
                <w:szCs w:val="22"/>
              </w:rPr>
            </w:pPr>
          </w:p>
        </w:tc>
        <w:tc>
          <w:tcPr>
            <w:tcW w:w="2124" w:type="dxa"/>
            <w:vMerge/>
            <w:vAlign w:val="center"/>
          </w:tcPr>
          <w:p w14:paraId="20FC12A1" w14:textId="77777777" w:rsidR="00033D68" w:rsidRPr="00F54C45" w:rsidRDefault="00033D68" w:rsidP="00027396">
            <w:pPr>
              <w:spacing w:after="0" w:line="240" w:lineRule="auto"/>
              <w:jc w:val="center"/>
              <w:rPr>
                <w:sz w:val="22"/>
                <w:szCs w:val="22"/>
              </w:rPr>
            </w:pPr>
          </w:p>
        </w:tc>
        <w:tc>
          <w:tcPr>
            <w:tcW w:w="710" w:type="dxa"/>
            <w:shd w:val="clear" w:color="auto" w:fill="D9D9D9" w:themeFill="background1" w:themeFillShade="D9"/>
            <w:vAlign w:val="center"/>
          </w:tcPr>
          <w:p w14:paraId="01637BF1" w14:textId="77777777" w:rsidR="00033D68" w:rsidRPr="00F54C45" w:rsidRDefault="00033D68" w:rsidP="00027396">
            <w:pPr>
              <w:spacing w:after="0" w:line="240" w:lineRule="auto"/>
              <w:jc w:val="center"/>
              <w:rPr>
                <w:sz w:val="22"/>
                <w:szCs w:val="22"/>
              </w:rPr>
            </w:pPr>
            <w:r w:rsidRPr="00F54C45">
              <w:rPr>
                <w:sz w:val="22"/>
                <w:szCs w:val="22"/>
              </w:rPr>
              <w:t>2022</w:t>
            </w:r>
          </w:p>
        </w:tc>
        <w:tc>
          <w:tcPr>
            <w:tcW w:w="709" w:type="dxa"/>
            <w:shd w:val="clear" w:color="auto" w:fill="D9D9D9" w:themeFill="background1" w:themeFillShade="D9"/>
            <w:vAlign w:val="center"/>
          </w:tcPr>
          <w:p w14:paraId="60966AAC" w14:textId="77777777" w:rsidR="00033D68" w:rsidRPr="00F54C45" w:rsidRDefault="00033D68" w:rsidP="00027396">
            <w:pPr>
              <w:spacing w:after="0" w:line="240" w:lineRule="auto"/>
              <w:jc w:val="center"/>
              <w:rPr>
                <w:sz w:val="22"/>
                <w:szCs w:val="22"/>
              </w:rPr>
            </w:pPr>
            <w:r w:rsidRPr="00F54C45">
              <w:rPr>
                <w:sz w:val="22"/>
                <w:szCs w:val="22"/>
              </w:rPr>
              <w:t>2023</w:t>
            </w:r>
          </w:p>
        </w:tc>
        <w:tc>
          <w:tcPr>
            <w:tcW w:w="714" w:type="dxa"/>
            <w:shd w:val="clear" w:color="auto" w:fill="D9D9D9" w:themeFill="background1" w:themeFillShade="D9"/>
            <w:vAlign w:val="center"/>
          </w:tcPr>
          <w:p w14:paraId="05872314" w14:textId="77777777" w:rsidR="00033D68" w:rsidRPr="00F54C45" w:rsidRDefault="00033D68" w:rsidP="00027396">
            <w:pPr>
              <w:spacing w:after="0" w:line="240" w:lineRule="auto"/>
              <w:jc w:val="center"/>
              <w:rPr>
                <w:sz w:val="22"/>
                <w:szCs w:val="22"/>
              </w:rPr>
            </w:pPr>
            <w:r w:rsidRPr="00F54C45">
              <w:rPr>
                <w:sz w:val="22"/>
                <w:szCs w:val="22"/>
              </w:rPr>
              <w:t>2024</w:t>
            </w:r>
          </w:p>
        </w:tc>
        <w:tc>
          <w:tcPr>
            <w:tcW w:w="2862" w:type="dxa"/>
            <w:vMerge/>
            <w:vAlign w:val="center"/>
          </w:tcPr>
          <w:p w14:paraId="2C5965FF" w14:textId="77777777" w:rsidR="00033D68" w:rsidRPr="00F54C45" w:rsidRDefault="00033D68" w:rsidP="00027396">
            <w:pPr>
              <w:spacing w:after="0" w:line="240" w:lineRule="auto"/>
              <w:jc w:val="center"/>
              <w:rPr>
                <w:sz w:val="22"/>
                <w:szCs w:val="22"/>
              </w:rPr>
            </w:pPr>
          </w:p>
        </w:tc>
      </w:tr>
      <w:tr w:rsidR="009B03D0" w:rsidRPr="00F54C45" w14:paraId="7548D182" w14:textId="77777777" w:rsidTr="00430035">
        <w:trPr>
          <w:cantSplit/>
        </w:trPr>
        <w:tc>
          <w:tcPr>
            <w:tcW w:w="2118" w:type="dxa"/>
            <w:vMerge w:val="restart"/>
          </w:tcPr>
          <w:p w14:paraId="78A8224D" w14:textId="123051FD" w:rsidR="009B03D0" w:rsidRPr="00F54C45" w:rsidRDefault="00C53F7D" w:rsidP="009B03D0">
            <w:pPr>
              <w:spacing w:beforeLines="60" w:before="144" w:afterLines="60" w:after="144" w:line="240" w:lineRule="auto"/>
              <w:jc w:val="left"/>
              <w:rPr>
                <w:sz w:val="22"/>
                <w:szCs w:val="22"/>
              </w:rPr>
            </w:pPr>
            <w:r w:rsidRPr="00F54C45">
              <w:rPr>
                <w:sz w:val="22"/>
                <w:szCs w:val="22"/>
              </w:rPr>
              <w:t>Raise the awareness of</w:t>
            </w:r>
            <w:r w:rsidRPr="00F54C45">
              <w:rPr>
                <w:sz w:val="22"/>
                <w:szCs w:val="22"/>
              </w:rPr>
              <w:t xml:space="preserve"> IPT and </w:t>
            </w:r>
            <w:r w:rsidRPr="00F54C45">
              <w:rPr>
                <w:sz w:val="22"/>
                <w:szCs w:val="22"/>
              </w:rPr>
              <w:t>the wider</w:t>
            </w:r>
            <w:r w:rsidRPr="00F54C45">
              <w:rPr>
                <w:sz w:val="22"/>
                <w:szCs w:val="22"/>
              </w:rPr>
              <w:t xml:space="preserve"> community </w:t>
            </w:r>
            <w:r w:rsidRPr="00F54C45">
              <w:rPr>
                <w:sz w:val="22"/>
                <w:szCs w:val="22"/>
              </w:rPr>
              <w:t>to</w:t>
            </w:r>
            <w:r w:rsidRPr="00F54C45">
              <w:rPr>
                <w:sz w:val="22"/>
                <w:szCs w:val="22"/>
              </w:rPr>
              <w:t xml:space="preserve"> the principles of gender equality</w:t>
            </w:r>
          </w:p>
        </w:tc>
        <w:tc>
          <w:tcPr>
            <w:tcW w:w="3228" w:type="dxa"/>
          </w:tcPr>
          <w:p w14:paraId="6538E9CB" w14:textId="2C8F1BE7" w:rsidR="009B03D0" w:rsidRPr="00F54C45" w:rsidRDefault="009B03D0" w:rsidP="004E4A9B">
            <w:pPr>
              <w:spacing w:beforeLines="60" w:before="144" w:afterLines="60" w:after="144" w:line="240" w:lineRule="auto"/>
              <w:jc w:val="left"/>
              <w:rPr>
                <w:sz w:val="22"/>
                <w:szCs w:val="22"/>
              </w:rPr>
            </w:pPr>
            <w:r w:rsidRPr="00F54C45">
              <w:rPr>
                <w:sz w:val="22"/>
                <w:szCs w:val="22"/>
              </w:rPr>
              <w:t>9</w:t>
            </w:r>
            <w:r w:rsidR="00C53F7D" w:rsidRPr="00F54C45">
              <w:rPr>
                <w:sz w:val="22"/>
                <w:szCs w:val="22"/>
              </w:rPr>
              <w:t>. Creating an inclusive, gender-sensitive language guide for IPT's internal and external communication;</w:t>
            </w:r>
          </w:p>
        </w:tc>
        <w:tc>
          <w:tcPr>
            <w:tcW w:w="1989" w:type="dxa"/>
          </w:tcPr>
          <w:p w14:paraId="536DFA78" w14:textId="60D1DC3F" w:rsidR="009B03D0" w:rsidRPr="00F54C45" w:rsidRDefault="009B03D0" w:rsidP="00033D68">
            <w:pPr>
              <w:spacing w:beforeLines="60" w:before="144" w:afterLines="60" w:after="144" w:line="240" w:lineRule="auto"/>
              <w:jc w:val="left"/>
              <w:rPr>
                <w:sz w:val="22"/>
                <w:szCs w:val="22"/>
              </w:rPr>
            </w:pPr>
            <w:r w:rsidRPr="00F54C45">
              <w:rPr>
                <w:b/>
                <w:bCs/>
                <w:sz w:val="22"/>
                <w:szCs w:val="22"/>
              </w:rPr>
              <w:t>GDI</w:t>
            </w:r>
            <w:r w:rsidRPr="00F54C45">
              <w:rPr>
                <w:sz w:val="22"/>
                <w:szCs w:val="22"/>
              </w:rPr>
              <w:t>; GCRP</w:t>
            </w:r>
          </w:p>
        </w:tc>
        <w:tc>
          <w:tcPr>
            <w:tcW w:w="2124" w:type="dxa"/>
          </w:tcPr>
          <w:p w14:paraId="3D2EB2BF" w14:textId="7AA70364" w:rsidR="009B03D0" w:rsidRPr="00F54C45" w:rsidRDefault="00C53F7D" w:rsidP="004E4A9B">
            <w:pPr>
              <w:spacing w:beforeLines="60" w:before="144" w:afterLines="60" w:after="144" w:line="240" w:lineRule="auto"/>
              <w:jc w:val="left"/>
              <w:rPr>
                <w:sz w:val="22"/>
                <w:szCs w:val="22"/>
              </w:rPr>
            </w:pPr>
            <w:r w:rsidRPr="00F54C45">
              <w:rPr>
                <w:sz w:val="22"/>
                <w:szCs w:val="22"/>
              </w:rPr>
              <w:t>Guide of</w:t>
            </w:r>
            <w:r w:rsidRPr="00F54C45">
              <w:rPr>
                <w:sz w:val="22"/>
                <w:szCs w:val="22"/>
              </w:rPr>
              <w:t xml:space="preserve"> rules for an inclusive language accessible to the entire IPT community.</w:t>
            </w:r>
          </w:p>
        </w:tc>
        <w:tc>
          <w:tcPr>
            <w:tcW w:w="710" w:type="dxa"/>
          </w:tcPr>
          <w:p w14:paraId="438C2B78" w14:textId="77777777" w:rsidR="009B03D0" w:rsidRPr="00F54C45" w:rsidRDefault="009B03D0" w:rsidP="00033D68">
            <w:pPr>
              <w:spacing w:beforeLines="60" w:before="144" w:afterLines="60" w:after="144" w:line="240" w:lineRule="auto"/>
              <w:jc w:val="center"/>
              <w:rPr>
                <w:sz w:val="22"/>
                <w:szCs w:val="22"/>
              </w:rPr>
            </w:pPr>
          </w:p>
        </w:tc>
        <w:tc>
          <w:tcPr>
            <w:tcW w:w="709" w:type="dxa"/>
          </w:tcPr>
          <w:p w14:paraId="736C6B83" w14:textId="557C8E83" w:rsidR="009B03D0" w:rsidRPr="00F54C45" w:rsidRDefault="009B03D0" w:rsidP="00033D68">
            <w:pPr>
              <w:spacing w:beforeLines="60" w:before="144" w:afterLines="60" w:after="144" w:line="240" w:lineRule="auto"/>
              <w:jc w:val="center"/>
              <w:rPr>
                <w:sz w:val="22"/>
                <w:szCs w:val="22"/>
              </w:rPr>
            </w:pPr>
            <w:r w:rsidRPr="00F54C45">
              <w:rPr>
                <w:sz w:val="22"/>
                <w:szCs w:val="22"/>
              </w:rPr>
              <w:t>x</w:t>
            </w:r>
          </w:p>
        </w:tc>
        <w:tc>
          <w:tcPr>
            <w:tcW w:w="714" w:type="dxa"/>
          </w:tcPr>
          <w:p w14:paraId="21658763" w14:textId="77777777" w:rsidR="009B03D0" w:rsidRPr="00F54C45" w:rsidRDefault="009B03D0" w:rsidP="00033D68">
            <w:pPr>
              <w:spacing w:beforeLines="60" w:before="144" w:afterLines="60" w:after="144" w:line="240" w:lineRule="auto"/>
              <w:jc w:val="center"/>
              <w:rPr>
                <w:sz w:val="22"/>
                <w:szCs w:val="22"/>
              </w:rPr>
            </w:pPr>
          </w:p>
        </w:tc>
        <w:tc>
          <w:tcPr>
            <w:tcW w:w="2862" w:type="dxa"/>
          </w:tcPr>
          <w:p w14:paraId="4F07B21D" w14:textId="19E7ED12" w:rsidR="009B03D0" w:rsidRPr="00F54C45" w:rsidRDefault="00C53F7D" w:rsidP="004E4A9B">
            <w:pPr>
              <w:spacing w:beforeLines="60" w:before="144" w:afterLines="60" w:after="144" w:line="240" w:lineRule="auto"/>
              <w:jc w:val="left"/>
              <w:rPr>
                <w:sz w:val="22"/>
                <w:szCs w:val="22"/>
              </w:rPr>
            </w:pPr>
            <w:r w:rsidRPr="00F54C45">
              <w:rPr>
                <w:sz w:val="22"/>
                <w:szCs w:val="22"/>
              </w:rPr>
              <w:t>Guide available until the end of 2023</w:t>
            </w:r>
          </w:p>
        </w:tc>
      </w:tr>
      <w:tr w:rsidR="009B03D0" w:rsidRPr="00F54C45" w14:paraId="379B359A" w14:textId="77777777" w:rsidTr="00430035">
        <w:trPr>
          <w:cantSplit/>
        </w:trPr>
        <w:tc>
          <w:tcPr>
            <w:tcW w:w="2118" w:type="dxa"/>
            <w:vMerge/>
          </w:tcPr>
          <w:p w14:paraId="513BCB8A" w14:textId="42704DC1" w:rsidR="009B03D0" w:rsidRPr="00F54C45" w:rsidRDefault="009B03D0" w:rsidP="004E4A9B">
            <w:pPr>
              <w:spacing w:beforeLines="60" w:before="144" w:afterLines="60" w:after="144" w:line="240" w:lineRule="auto"/>
              <w:jc w:val="left"/>
              <w:rPr>
                <w:sz w:val="22"/>
                <w:szCs w:val="22"/>
              </w:rPr>
            </w:pPr>
          </w:p>
        </w:tc>
        <w:tc>
          <w:tcPr>
            <w:tcW w:w="3228" w:type="dxa"/>
          </w:tcPr>
          <w:p w14:paraId="7DFC4A1E" w14:textId="7CA2ABF4" w:rsidR="009B03D0" w:rsidRPr="00F54C45" w:rsidRDefault="009B03D0" w:rsidP="004E4A9B">
            <w:pPr>
              <w:spacing w:beforeLines="60" w:before="144" w:afterLines="60" w:after="144" w:line="240" w:lineRule="auto"/>
              <w:jc w:val="left"/>
              <w:rPr>
                <w:sz w:val="22"/>
                <w:szCs w:val="22"/>
              </w:rPr>
            </w:pPr>
            <w:r w:rsidRPr="00F54C45">
              <w:rPr>
                <w:sz w:val="22"/>
                <w:szCs w:val="22"/>
              </w:rPr>
              <w:t>10</w:t>
            </w:r>
            <w:r w:rsidR="00C53F7D" w:rsidRPr="00F54C45">
              <w:rPr>
                <w:sz w:val="22"/>
                <w:szCs w:val="22"/>
              </w:rPr>
              <w:t>. Design of a web page and a logo to allow the dissemination and promotion of the themes of gender equality and inclusion;</w:t>
            </w:r>
          </w:p>
        </w:tc>
        <w:tc>
          <w:tcPr>
            <w:tcW w:w="1989" w:type="dxa"/>
          </w:tcPr>
          <w:p w14:paraId="52B44AB2" w14:textId="6DFB3DC4" w:rsidR="009B03D0" w:rsidRPr="00F54C45" w:rsidRDefault="009B03D0" w:rsidP="004E4A9B">
            <w:pPr>
              <w:spacing w:beforeLines="60" w:before="144" w:afterLines="60" w:after="144" w:line="240" w:lineRule="auto"/>
              <w:jc w:val="left"/>
              <w:rPr>
                <w:sz w:val="22"/>
                <w:szCs w:val="22"/>
              </w:rPr>
            </w:pPr>
            <w:r w:rsidRPr="00F54C45">
              <w:rPr>
                <w:b/>
                <w:sz w:val="22"/>
                <w:szCs w:val="22"/>
              </w:rPr>
              <w:t>GDI</w:t>
            </w:r>
            <w:r w:rsidRPr="00F54C45">
              <w:rPr>
                <w:sz w:val="22"/>
                <w:szCs w:val="22"/>
              </w:rPr>
              <w:t>; CIS; GCRP</w:t>
            </w:r>
          </w:p>
        </w:tc>
        <w:tc>
          <w:tcPr>
            <w:tcW w:w="2124" w:type="dxa"/>
          </w:tcPr>
          <w:p w14:paraId="69A27AC9" w14:textId="64702ACA" w:rsidR="009B03D0" w:rsidRPr="00F54C45" w:rsidRDefault="00C53F7D" w:rsidP="004E4A9B">
            <w:pPr>
              <w:spacing w:beforeLines="60" w:before="144" w:afterLines="60" w:after="144" w:line="240" w:lineRule="auto"/>
              <w:jc w:val="left"/>
              <w:rPr>
                <w:sz w:val="22"/>
                <w:szCs w:val="22"/>
              </w:rPr>
            </w:pPr>
            <w:r w:rsidRPr="00F54C45">
              <w:rPr>
                <w:sz w:val="22"/>
                <w:szCs w:val="22"/>
              </w:rPr>
              <w:t>Web page and logo of the Diversity and Inclusion Group.</w:t>
            </w:r>
          </w:p>
        </w:tc>
        <w:tc>
          <w:tcPr>
            <w:tcW w:w="710" w:type="dxa"/>
          </w:tcPr>
          <w:p w14:paraId="194D4EFB" w14:textId="29CDE882" w:rsidR="009B03D0" w:rsidRPr="00F54C45" w:rsidRDefault="009B03D0" w:rsidP="00033D68">
            <w:pPr>
              <w:spacing w:beforeLines="60" w:before="144" w:afterLines="60" w:after="144" w:line="240" w:lineRule="auto"/>
              <w:jc w:val="center"/>
              <w:rPr>
                <w:sz w:val="22"/>
                <w:szCs w:val="22"/>
              </w:rPr>
            </w:pPr>
            <w:r w:rsidRPr="00F54C45">
              <w:rPr>
                <w:sz w:val="22"/>
                <w:szCs w:val="22"/>
              </w:rPr>
              <w:t>x</w:t>
            </w:r>
          </w:p>
        </w:tc>
        <w:tc>
          <w:tcPr>
            <w:tcW w:w="709" w:type="dxa"/>
          </w:tcPr>
          <w:p w14:paraId="45DBC47B" w14:textId="77777777" w:rsidR="009B03D0" w:rsidRPr="00F54C45" w:rsidRDefault="009B03D0" w:rsidP="00033D68">
            <w:pPr>
              <w:spacing w:beforeLines="60" w:before="144" w:afterLines="60" w:after="144" w:line="240" w:lineRule="auto"/>
              <w:jc w:val="center"/>
              <w:rPr>
                <w:sz w:val="22"/>
                <w:szCs w:val="22"/>
              </w:rPr>
            </w:pPr>
          </w:p>
        </w:tc>
        <w:tc>
          <w:tcPr>
            <w:tcW w:w="714" w:type="dxa"/>
          </w:tcPr>
          <w:p w14:paraId="1B0D7F99" w14:textId="77777777" w:rsidR="009B03D0" w:rsidRPr="00F54C45" w:rsidRDefault="009B03D0" w:rsidP="00033D68">
            <w:pPr>
              <w:spacing w:beforeLines="60" w:before="144" w:afterLines="60" w:after="144" w:line="240" w:lineRule="auto"/>
              <w:jc w:val="center"/>
              <w:rPr>
                <w:sz w:val="22"/>
                <w:szCs w:val="22"/>
              </w:rPr>
            </w:pPr>
          </w:p>
        </w:tc>
        <w:tc>
          <w:tcPr>
            <w:tcW w:w="2862" w:type="dxa"/>
          </w:tcPr>
          <w:p w14:paraId="6FE4CD0C" w14:textId="4C2176BB" w:rsidR="009B03D0" w:rsidRPr="00F54C45" w:rsidRDefault="00C53F7D" w:rsidP="004E4A9B">
            <w:pPr>
              <w:spacing w:beforeLines="60" w:before="144" w:afterLines="60" w:after="144" w:line="240" w:lineRule="auto"/>
              <w:jc w:val="left"/>
              <w:rPr>
                <w:sz w:val="22"/>
                <w:szCs w:val="22"/>
              </w:rPr>
            </w:pPr>
            <w:r w:rsidRPr="00F54C45">
              <w:rPr>
                <w:sz w:val="22"/>
                <w:szCs w:val="22"/>
              </w:rPr>
              <w:t>Web page and logo by the end of January 2022</w:t>
            </w:r>
          </w:p>
        </w:tc>
      </w:tr>
      <w:tr w:rsidR="009B03D0" w:rsidRPr="00F54C45" w14:paraId="28C553E3" w14:textId="77777777" w:rsidTr="00430035">
        <w:trPr>
          <w:cantSplit/>
        </w:trPr>
        <w:tc>
          <w:tcPr>
            <w:tcW w:w="2118" w:type="dxa"/>
            <w:vMerge/>
          </w:tcPr>
          <w:p w14:paraId="1D91C687" w14:textId="6630C88C" w:rsidR="009B03D0" w:rsidRPr="00F54C45" w:rsidRDefault="009B03D0" w:rsidP="004E4A9B">
            <w:pPr>
              <w:spacing w:beforeLines="60" w:before="144" w:afterLines="60" w:after="144" w:line="240" w:lineRule="auto"/>
              <w:jc w:val="left"/>
              <w:rPr>
                <w:sz w:val="22"/>
                <w:szCs w:val="22"/>
              </w:rPr>
            </w:pPr>
          </w:p>
        </w:tc>
        <w:tc>
          <w:tcPr>
            <w:tcW w:w="3228" w:type="dxa"/>
          </w:tcPr>
          <w:p w14:paraId="7C79E4E8" w14:textId="5537EDFA" w:rsidR="009B03D0" w:rsidRPr="00F54C45" w:rsidRDefault="009B03D0" w:rsidP="004E4A9B">
            <w:pPr>
              <w:spacing w:beforeLines="60" w:before="144" w:afterLines="60" w:after="144" w:line="240" w:lineRule="auto"/>
              <w:jc w:val="left"/>
              <w:rPr>
                <w:sz w:val="22"/>
                <w:szCs w:val="22"/>
              </w:rPr>
            </w:pPr>
            <w:r w:rsidRPr="00F54C45">
              <w:rPr>
                <w:sz w:val="22"/>
                <w:szCs w:val="22"/>
              </w:rPr>
              <w:t xml:space="preserve">11. </w:t>
            </w:r>
            <w:r w:rsidR="00C53F7D" w:rsidRPr="00F54C45">
              <w:rPr>
                <w:sz w:val="22"/>
                <w:szCs w:val="22"/>
              </w:rPr>
              <w:t>Dissemination of IPT's plan for gender equality, inclusion and diversity and the respective actions;</w:t>
            </w:r>
          </w:p>
        </w:tc>
        <w:tc>
          <w:tcPr>
            <w:tcW w:w="1989" w:type="dxa"/>
          </w:tcPr>
          <w:p w14:paraId="6B4F9D80" w14:textId="042A4274" w:rsidR="009B03D0" w:rsidRPr="00F54C45" w:rsidRDefault="009B03D0" w:rsidP="00033D68">
            <w:pPr>
              <w:spacing w:beforeLines="60" w:before="144" w:afterLines="60" w:after="144" w:line="240" w:lineRule="auto"/>
              <w:jc w:val="left"/>
              <w:rPr>
                <w:b/>
                <w:bCs/>
                <w:sz w:val="22"/>
                <w:szCs w:val="22"/>
              </w:rPr>
            </w:pPr>
            <w:r w:rsidRPr="00F54C45">
              <w:rPr>
                <w:b/>
                <w:bCs/>
                <w:sz w:val="22"/>
                <w:szCs w:val="22"/>
              </w:rPr>
              <w:t>GDI</w:t>
            </w:r>
          </w:p>
        </w:tc>
        <w:tc>
          <w:tcPr>
            <w:tcW w:w="2124" w:type="dxa"/>
          </w:tcPr>
          <w:p w14:paraId="685A3634" w14:textId="21368CB0" w:rsidR="009B03D0" w:rsidRPr="00F54C45" w:rsidRDefault="00C53F7D" w:rsidP="00033D68">
            <w:pPr>
              <w:spacing w:beforeLines="60" w:before="144" w:afterLines="60" w:after="144" w:line="240" w:lineRule="auto"/>
              <w:jc w:val="left"/>
              <w:rPr>
                <w:sz w:val="22"/>
                <w:szCs w:val="22"/>
              </w:rPr>
            </w:pPr>
            <w:r w:rsidRPr="00F54C45">
              <w:rPr>
                <w:sz w:val="22"/>
                <w:szCs w:val="22"/>
              </w:rPr>
              <w:t>Definition and implementation of communication plan (website and social networks).</w:t>
            </w:r>
          </w:p>
        </w:tc>
        <w:tc>
          <w:tcPr>
            <w:tcW w:w="710" w:type="dxa"/>
          </w:tcPr>
          <w:p w14:paraId="67DE48B9" w14:textId="6AEF7BF6" w:rsidR="009B03D0" w:rsidRPr="00F54C45" w:rsidRDefault="009B03D0" w:rsidP="00033D68">
            <w:pPr>
              <w:spacing w:beforeLines="60" w:before="144" w:afterLines="60" w:after="144" w:line="240" w:lineRule="auto"/>
              <w:jc w:val="center"/>
              <w:rPr>
                <w:sz w:val="22"/>
                <w:szCs w:val="22"/>
              </w:rPr>
            </w:pPr>
            <w:r w:rsidRPr="00F54C45">
              <w:rPr>
                <w:sz w:val="22"/>
                <w:szCs w:val="22"/>
              </w:rPr>
              <w:t>x</w:t>
            </w:r>
          </w:p>
        </w:tc>
        <w:tc>
          <w:tcPr>
            <w:tcW w:w="709" w:type="dxa"/>
          </w:tcPr>
          <w:p w14:paraId="5598C742" w14:textId="00738322" w:rsidR="009B03D0" w:rsidRPr="00F54C45" w:rsidRDefault="009B03D0" w:rsidP="00033D68">
            <w:pPr>
              <w:spacing w:beforeLines="60" w:before="144" w:afterLines="60" w:after="144" w:line="240" w:lineRule="auto"/>
              <w:jc w:val="center"/>
              <w:rPr>
                <w:sz w:val="22"/>
                <w:szCs w:val="22"/>
              </w:rPr>
            </w:pPr>
            <w:r w:rsidRPr="00F54C45">
              <w:rPr>
                <w:sz w:val="22"/>
                <w:szCs w:val="22"/>
              </w:rPr>
              <w:t>x</w:t>
            </w:r>
          </w:p>
        </w:tc>
        <w:tc>
          <w:tcPr>
            <w:tcW w:w="714" w:type="dxa"/>
          </w:tcPr>
          <w:p w14:paraId="612117F3" w14:textId="6A7A5F14" w:rsidR="009B03D0" w:rsidRPr="00F54C45" w:rsidRDefault="009B03D0" w:rsidP="00033D68">
            <w:pPr>
              <w:spacing w:beforeLines="60" w:before="144" w:afterLines="60" w:after="144" w:line="240" w:lineRule="auto"/>
              <w:jc w:val="center"/>
              <w:rPr>
                <w:sz w:val="22"/>
                <w:szCs w:val="22"/>
              </w:rPr>
            </w:pPr>
            <w:r w:rsidRPr="00F54C45">
              <w:rPr>
                <w:sz w:val="22"/>
                <w:szCs w:val="22"/>
              </w:rPr>
              <w:t>x</w:t>
            </w:r>
          </w:p>
        </w:tc>
        <w:tc>
          <w:tcPr>
            <w:tcW w:w="2862" w:type="dxa"/>
          </w:tcPr>
          <w:p w14:paraId="4DA0B179" w14:textId="701DB273" w:rsidR="009B03D0" w:rsidRPr="00F54C45" w:rsidRDefault="00C53F7D" w:rsidP="00033D68">
            <w:pPr>
              <w:spacing w:beforeLines="60" w:before="144" w:afterLines="60" w:after="144" w:line="240" w:lineRule="auto"/>
              <w:jc w:val="left"/>
              <w:rPr>
                <w:sz w:val="22"/>
                <w:szCs w:val="22"/>
              </w:rPr>
            </w:pPr>
            <w:r w:rsidRPr="00F54C45">
              <w:rPr>
                <w:sz w:val="22"/>
                <w:szCs w:val="22"/>
              </w:rPr>
              <w:t>Disclosure of the plan and actions by the end of January of each year</w:t>
            </w:r>
          </w:p>
        </w:tc>
      </w:tr>
      <w:tr w:rsidR="009B03D0" w:rsidRPr="00F54C45" w14:paraId="4538EAD1" w14:textId="77777777" w:rsidTr="00430035">
        <w:trPr>
          <w:cantSplit/>
          <w:trHeight w:val="1975"/>
        </w:trPr>
        <w:tc>
          <w:tcPr>
            <w:tcW w:w="2118" w:type="dxa"/>
            <w:vMerge/>
          </w:tcPr>
          <w:p w14:paraId="1A8236A6" w14:textId="77777777" w:rsidR="009B03D0" w:rsidRPr="00F54C45" w:rsidRDefault="009B03D0" w:rsidP="004E4A9B">
            <w:pPr>
              <w:spacing w:beforeLines="60" w:before="144" w:afterLines="60" w:after="144" w:line="240" w:lineRule="auto"/>
              <w:jc w:val="left"/>
              <w:rPr>
                <w:sz w:val="22"/>
                <w:szCs w:val="22"/>
              </w:rPr>
            </w:pPr>
          </w:p>
        </w:tc>
        <w:tc>
          <w:tcPr>
            <w:tcW w:w="3228" w:type="dxa"/>
          </w:tcPr>
          <w:p w14:paraId="10773F6C" w14:textId="2906CE85" w:rsidR="009B03D0" w:rsidRPr="00F54C45" w:rsidRDefault="009B03D0" w:rsidP="004E4A9B">
            <w:pPr>
              <w:spacing w:beforeLines="60" w:before="144" w:afterLines="60" w:after="144" w:line="240" w:lineRule="auto"/>
              <w:jc w:val="left"/>
              <w:rPr>
                <w:sz w:val="22"/>
                <w:szCs w:val="22"/>
              </w:rPr>
            </w:pPr>
            <w:r w:rsidRPr="00F54C45">
              <w:rPr>
                <w:sz w:val="22"/>
                <w:szCs w:val="22"/>
                <w:lang w:val="pt-PT"/>
              </w:rPr>
              <w:t xml:space="preserve">12.  </w:t>
            </w:r>
            <w:r w:rsidR="00C53F7D" w:rsidRPr="00F54C45">
              <w:rPr>
                <w:sz w:val="22"/>
                <w:szCs w:val="22"/>
              </w:rPr>
              <w:t>Holding themed events to raise awareness of gender equality and inclusion accessible to the entire academic community.</w:t>
            </w:r>
          </w:p>
        </w:tc>
        <w:tc>
          <w:tcPr>
            <w:tcW w:w="1989" w:type="dxa"/>
          </w:tcPr>
          <w:p w14:paraId="49C8BFCA" w14:textId="1C1AB8A3" w:rsidR="009B03D0" w:rsidRPr="00F54C45" w:rsidRDefault="009B03D0" w:rsidP="00FC6D1E">
            <w:pPr>
              <w:spacing w:beforeLines="60" w:before="144" w:afterLines="60" w:after="144" w:line="240" w:lineRule="auto"/>
              <w:jc w:val="left"/>
              <w:rPr>
                <w:sz w:val="22"/>
                <w:szCs w:val="22"/>
              </w:rPr>
            </w:pPr>
            <w:r w:rsidRPr="00F54C45">
              <w:rPr>
                <w:b/>
                <w:sz w:val="22"/>
                <w:szCs w:val="22"/>
              </w:rPr>
              <w:t>GDI</w:t>
            </w:r>
            <w:r w:rsidRPr="00F54C45">
              <w:rPr>
                <w:sz w:val="22"/>
                <w:szCs w:val="22"/>
              </w:rPr>
              <w:t>; GCRP</w:t>
            </w:r>
          </w:p>
        </w:tc>
        <w:tc>
          <w:tcPr>
            <w:tcW w:w="2124" w:type="dxa"/>
          </w:tcPr>
          <w:p w14:paraId="4364C624" w14:textId="77777777" w:rsidR="00C53F7D" w:rsidRPr="00F54C45" w:rsidRDefault="00C53F7D" w:rsidP="00C53F7D">
            <w:pPr>
              <w:spacing w:beforeLines="60" w:before="144" w:afterLines="60" w:after="144" w:line="240" w:lineRule="auto"/>
              <w:jc w:val="left"/>
              <w:rPr>
                <w:sz w:val="22"/>
                <w:szCs w:val="22"/>
              </w:rPr>
            </w:pPr>
            <w:r w:rsidRPr="00F54C45">
              <w:rPr>
                <w:sz w:val="22"/>
                <w:szCs w:val="22"/>
              </w:rPr>
              <w:t xml:space="preserve">No. of events held; </w:t>
            </w:r>
          </w:p>
          <w:p w14:paraId="0C123A55" w14:textId="77777777" w:rsidR="00C53F7D" w:rsidRPr="00F54C45" w:rsidRDefault="00C53F7D" w:rsidP="00C53F7D">
            <w:pPr>
              <w:spacing w:beforeLines="60" w:before="144" w:afterLines="60" w:after="144" w:line="240" w:lineRule="auto"/>
              <w:jc w:val="left"/>
              <w:rPr>
                <w:sz w:val="22"/>
                <w:szCs w:val="22"/>
              </w:rPr>
            </w:pPr>
            <w:r w:rsidRPr="00F54C45">
              <w:rPr>
                <w:sz w:val="22"/>
                <w:szCs w:val="22"/>
              </w:rPr>
              <w:t xml:space="preserve">No. of participants; </w:t>
            </w:r>
          </w:p>
          <w:p w14:paraId="32548DE5" w14:textId="77777777" w:rsidR="00C53F7D" w:rsidRPr="00F54C45" w:rsidRDefault="00C53F7D" w:rsidP="00C53F7D">
            <w:pPr>
              <w:spacing w:beforeLines="60" w:before="144" w:afterLines="60" w:after="144" w:line="240" w:lineRule="auto"/>
              <w:jc w:val="left"/>
              <w:rPr>
                <w:sz w:val="22"/>
                <w:szCs w:val="22"/>
              </w:rPr>
            </w:pPr>
            <w:r w:rsidRPr="00F54C45">
              <w:rPr>
                <w:sz w:val="22"/>
                <w:szCs w:val="22"/>
              </w:rPr>
              <w:t xml:space="preserve">No. of surveys filled out by participants; </w:t>
            </w:r>
          </w:p>
          <w:p w14:paraId="35729302" w14:textId="70D45AD0" w:rsidR="009B03D0" w:rsidRPr="00F54C45" w:rsidRDefault="00C53F7D" w:rsidP="00C53F7D">
            <w:pPr>
              <w:spacing w:beforeLines="60" w:before="144" w:afterLines="60" w:after="144" w:line="240" w:lineRule="auto"/>
              <w:jc w:val="left"/>
              <w:rPr>
                <w:sz w:val="22"/>
                <w:szCs w:val="22"/>
                <w:lang w:val="pt-PT"/>
              </w:rPr>
            </w:pPr>
            <w:r w:rsidRPr="00F54C45">
              <w:rPr>
                <w:sz w:val="22"/>
                <w:szCs w:val="22"/>
                <w:lang w:val="pt-PT"/>
              </w:rPr>
              <w:t>No. of survey responses.</w:t>
            </w:r>
          </w:p>
        </w:tc>
        <w:tc>
          <w:tcPr>
            <w:tcW w:w="710" w:type="dxa"/>
          </w:tcPr>
          <w:p w14:paraId="077E796A" w14:textId="49E35ADA" w:rsidR="009B03D0" w:rsidRPr="00F54C45" w:rsidRDefault="009B03D0" w:rsidP="00033D68">
            <w:pPr>
              <w:spacing w:beforeLines="60" w:before="144" w:afterLines="60" w:after="144" w:line="240" w:lineRule="auto"/>
              <w:jc w:val="center"/>
              <w:rPr>
                <w:sz w:val="22"/>
                <w:szCs w:val="22"/>
              </w:rPr>
            </w:pPr>
            <w:r w:rsidRPr="00F54C45">
              <w:rPr>
                <w:sz w:val="22"/>
                <w:szCs w:val="22"/>
              </w:rPr>
              <w:t>x</w:t>
            </w:r>
          </w:p>
        </w:tc>
        <w:tc>
          <w:tcPr>
            <w:tcW w:w="709" w:type="dxa"/>
          </w:tcPr>
          <w:p w14:paraId="1A048824" w14:textId="32213E9A" w:rsidR="009B03D0" w:rsidRPr="00F54C45" w:rsidRDefault="009B03D0" w:rsidP="00033D68">
            <w:pPr>
              <w:spacing w:beforeLines="60" w:before="144" w:afterLines="60" w:after="144" w:line="240" w:lineRule="auto"/>
              <w:jc w:val="center"/>
              <w:rPr>
                <w:sz w:val="22"/>
                <w:szCs w:val="22"/>
              </w:rPr>
            </w:pPr>
            <w:r w:rsidRPr="00F54C45">
              <w:rPr>
                <w:sz w:val="22"/>
                <w:szCs w:val="22"/>
              </w:rPr>
              <w:t>x</w:t>
            </w:r>
          </w:p>
        </w:tc>
        <w:tc>
          <w:tcPr>
            <w:tcW w:w="714" w:type="dxa"/>
          </w:tcPr>
          <w:p w14:paraId="3AE77C22" w14:textId="406B78E1" w:rsidR="009B03D0" w:rsidRPr="00F54C45" w:rsidRDefault="009B03D0" w:rsidP="00033D68">
            <w:pPr>
              <w:spacing w:beforeLines="60" w:before="144" w:afterLines="60" w:after="144" w:line="240" w:lineRule="auto"/>
              <w:jc w:val="center"/>
              <w:rPr>
                <w:sz w:val="22"/>
                <w:szCs w:val="22"/>
              </w:rPr>
            </w:pPr>
            <w:r w:rsidRPr="00F54C45">
              <w:rPr>
                <w:sz w:val="22"/>
                <w:szCs w:val="22"/>
              </w:rPr>
              <w:t>x</w:t>
            </w:r>
          </w:p>
        </w:tc>
        <w:tc>
          <w:tcPr>
            <w:tcW w:w="2862" w:type="dxa"/>
          </w:tcPr>
          <w:p w14:paraId="5D9200E3" w14:textId="041F27E1" w:rsidR="009B03D0" w:rsidRPr="00F54C45" w:rsidRDefault="00C53F7D" w:rsidP="004E4A9B">
            <w:pPr>
              <w:spacing w:beforeLines="60" w:before="144" w:afterLines="60" w:after="144" w:line="240" w:lineRule="auto"/>
              <w:jc w:val="left"/>
              <w:rPr>
                <w:sz w:val="22"/>
                <w:szCs w:val="22"/>
              </w:rPr>
            </w:pPr>
            <w:r w:rsidRPr="00F54C45">
              <w:rPr>
                <w:sz w:val="22"/>
                <w:szCs w:val="22"/>
              </w:rPr>
              <w:t>1 thematic event per year</w:t>
            </w:r>
          </w:p>
        </w:tc>
      </w:tr>
    </w:tbl>
    <w:p w14:paraId="60C58F10" w14:textId="160E34FA" w:rsidR="009B03D0" w:rsidRPr="00F54C45" w:rsidRDefault="009B03D0"/>
    <w:tbl>
      <w:tblPr>
        <w:tblStyle w:val="Tabelacomgrade"/>
        <w:tblW w:w="14425" w:type="dxa"/>
        <w:tblLayout w:type="fixed"/>
        <w:tblLook w:val="04A0" w:firstRow="1" w:lastRow="0" w:firstColumn="1" w:lastColumn="0" w:noHBand="0" w:noVBand="1"/>
      </w:tblPr>
      <w:tblGrid>
        <w:gridCol w:w="2121"/>
        <w:gridCol w:w="3229"/>
        <w:gridCol w:w="1986"/>
        <w:gridCol w:w="2124"/>
        <w:gridCol w:w="710"/>
        <w:gridCol w:w="709"/>
        <w:gridCol w:w="714"/>
        <w:gridCol w:w="2832"/>
      </w:tblGrid>
      <w:tr w:rsidR="009B03D0" w:rsidRPr="00F54C45" w14:paraId="4E9797B6" w14:textId="77777777" w:rsidTr="00027396">
        <w:trPr>
          <w:cantSplit/>
        </w:trPr>
        <w:tc>
          <w:tcPr>
            <w:tcW w:w="14425" w:type="dxa"/>
            <w:gridSpan w:val="8"/>
            <w:shd w:val="clear" w:color="auto" w:fill="92D050"/>
            <w:vAlign w:val="center"/>
          </w:tcPr>
          <w:p w14:paraId="7626EE79" w14:textId="3F347190" w:rsidR="009B03D0" w:rsidRPr="00F54C45" w:rsidRDefault="00814D5B" w:rsidP="00027396">
            <w:pPr>
              <w:spacing w:after="0" w:line="240" w:lineRule="auto"/>
              <w:jc w:val="center"/>
              <w:rPr>
                <w:sz w:val="22"/>
                <w:szCs w:val="22"/>
              </w:rPr>
            </w:pPr>
            <w:r w:rsidRPr="00F54C45">
              <w:rPr>
                <w:sz w:val="22"/>
                <w:szCs w:val="22"/>
              </w:rPr>
              <w:t>Priority Area</w:t>
            </w:r>
            <w:r w:rsidR="009B03D0" w:rsidRPr="00F54C45">
              <w:rPr>
                <w:sz w:val="22"/>
                <w:szCs w:val="22"/>
              </w:rPr>
              <w:t xml:space="preserve"> 3 – </w:t>
            </w:r>
            <w:r w:rsidR="00C53F7D" w:rsidRPr="00F54C45">
              <w:rPr>
                <w:sz w:val="22"/>
                <w:szCs w:val="22"/>
              </w:rPr>
              <w:t>Gender, education and research</w:t>
            </w:r>
          </w:p>
        </w:tc>
      </w:tr>
      <w:tr w:rsidR="00C53F7D" w:rsidRPr="00F54C45" w14:paraId="607FF8C0" w14:textId="77777777" w:rsidTr="009B03D0">
        <w:trPr>
          <w:cantSplit/>
        </w:trPr>
        <w:tc>
          <w:tcPr>
            <w:tcW w:w="2121" w:type="dxa"/>
            <w:vMerge w:val="restart"/>
            <w:shd w:val="clear" w:color="auto" w:fill="D9D9D9" w:themeFill="background1" w:themeFillShade="D9"/>
            <w:vAlign w:val="center"/>
          </w:tcPr>
          <w:p w14:paraId="28A3EF6B" w14:textId="73E80982" w:rsidR="00C53F7D" w:rsidRPr="00F54C45" w:rsidRDefault="00C53F7D" w:rsidP="00C53F7D">
            <w:pPr>
              <w:spacing w:after="0" w:line="240" w:lineRule="auto"/>
              <w:jc w:val="center"/>
              <w:rPr>
                <w:sz w:val="22"/>
                <w:szCs w:val="22"/>
              </w:rPr>
            </w:pPr>
            <w:r w:rsidRPr="00F54C45">
              <w:rPr>
                <w:sz w:val="22"/>
                <w:szCs w:val="22"/>
              </w:rPr>
              <w:t>Goals</w:t>
            </w:r>
          </w:p>
        </w:tc>
        <w:tc>
          <w:tcPr>
            <w:tcW w:w="3229" w:type="dxa"/>
            <w:vMerge w:val="restart"/>
            <w:shd w:val="clear" w:color="auto" w:fill="D9D9D9" w:themeFill="background1" w:themeFillShade="D9"/>
            <w:vAlign w:val="center"/>
          </w:tcPr>
          <w:p w14:paraId="3424AE98" w14:textId="4FC95B95" w:rsidR="00C53F7D" w:rsidRPr="00F54C45" w:rsidRDefault="00C53F7D" w:rsidP="00C53F7D">
            <w:pPr>
              <w:spacing w:after="0" w:line="240" w:lineRule="auto"/>
              <w:jc w:val="center"/>
              <w:rPr>
                <w:sz w:val="22"/>
                <w:szCs w:val="22"/>
              </w:rPr>
            </w:pPr>
            <w:r w:rsidRPr="00F54C45">
              <w:rPr>
                <w:sz w:val="22"/>
                <w:szCs w:val="22"/>
              </w:rPr>
              <w:t>Actions</w:t>
            </w:r>
          </w:p>
        </w:tc>
        <w:tc>
          <w:tcPr>
            <w:tcW w:w="1986" w:type="dxa"/>
            <w:vMerge w:val="restart"/>
            <w:shd w:val="clear" w:color="auto" w:fill="D9D9D9" w:themeFill="background1" w:themeFillShade="D9"/>
            <w:vAlign w:val="center"/>
          </w:tcPr>
          <w:p w14:paraId="6344D860" w14:textId="77777777" w:rsidR="00C53F7D" w:rsidRPr="00F54C45" w:rsidRDefault="00C53F7D" w:rsidP="00C53F7D">
            <w:pPr>
              <w:spacing w:after="0" w:line="240" w:lineRule="auto"/>
              <w:jc w:val="center"/>
              <w:rPr>
                <w:b/>
                <w:bCs/>
                <w:sz w:val="22"/>
                <w:szCs w:val="22"/>
              </w:rPr>
            </w:pPr>
            <w:r w:rsidRPr="00F54C45">
              <w:rPr>
                <w:b/>
                <w:bCs/>
                <w:sz w:val="22"/>
                <w:szCs w:val="22"/>
              </w:rPr>
              <w:t>Chair:</w:t>
            </w:r>
          </w:p>
          <w:p w14:paraId="15774B2A" w14:textId="632DBCA8" w:rsidR="00C53F7D" w:rsidRPr="00F54C45" w:rsidRDefault="00C53F7D" w:rsidP="00C53F7D">
            <w:pPr>
              <w:spacing w:after="0" w:line="240" w:lineRule="auto"/>
              <w:jc w:val="center"/>
              <w:rPr>
                <w:sz w:val="22"/>
                <w:szCs w:val="22"/>
              </w:rPr>
            </w:pPr>
            <w:r w:rsidRPr="00F54C45">
              <w:rPr>
                <w:sz w:val="22"/>
                <w:szCs w:val="22"/>
              </w:rPr>
              <w:t>Staff</w:t>
            </w:r>
          </w:p>
        </w:tc>
        <w:tc>
          <w:tcPr>
            <w:tcW w:w="2124" w:type="dxa"/>
            <w:vMerge w:val="restart"/>
            <w:shd w:val="clear" w:color="auto" w:fill="D9D9D9" w:themeFill="background1" w:themeFillShade="D9"/>
            <w:vAlign w:val="center"/>
          </w:tcPr>
          <w:p w14:paraId="1C8B350B" w14:textId="03D363F9" w:rsidR="00C53F7D" w:rsidRPr="00F54C45" w:rsidRDefault="00C53F7D" w:rsidP="00C53F7D">
            <w:pPr>
              <w:spacing w:after="0" w:line="240" w:lineRule="auto"/>
              <w:jc w:val="center"/>
              <w:rPr>
                <w:sz w:val="22"/>
                <w:szCs w:val="22"/>
              </w:rPr>
            </w:pPr>
            <w:r w:rsidRPr="00F54C45">
              <w:rPr>
                <w:sz w:val="22"/>
                <w:szCs w:val="22"/>
              </w:rPr>
              <w:t>Indicator</w:t>
            </w:r>
          </w:p>
        </w:tc>
        <w:tc>
          <w:tcPr>
            <w:tcW w:w="2133" w:type="dxa"/>
            <w:gridSpan w:val="3"/>
            <w:shd w:val="clear" w:color="auto" w:fill="D9D9D9" w:themeFill="background1" w:themeFillShade="D9"/>
            <w:vAlign w:val="center"/>
          </w:tcPr>
          <w:p w14:paraId="237EB5F9" w14:textId="1EF0A495" w:rsidR="00C53F7D" w:rsidRPr="00F54C45" w:rsidRDefault="00C53F7D" w:rsidP="00C53F7D">
            <w:pPr>
              <w:spacing w:after="0" w:line="240" w:lineRule="auto"/>
              <w:jc w:val="center"/>
              <w:rPr>
                <w:sz w:val="22"/>
                <w:szCs w:val="22"/>
              </w:rPr>
            </w:pPr>
            <w:r w:rsidRPr="00F54C45">
              <w:rPr>
                <w:sz w:val="22"/>
                <w:szCs w:val="22"/>
              </w:rPr>
              <w:t>Implementation</w:t>
            </w:r>
          </w:p>
        </w:tc>
        <w:tc>
          <w:tcPr>
            <w:tcW w:w="2832" w:type="dxa"/>
            <w:vMerge w:val="restart"/>
            <w:shd w:val="clear" w:color="auto" w:fill="D9D9D9" w:themeFill="background1" w:themeFillShade="D9"/>
            <w:vAlign w:val="center"/>
          </w:tcPr>
          <w:p w14:paraId="4F17D62A" w14:textId="77777777" w:rsidR="00C53F7D" w:rsidRPr="00F54C45" w:rsidRDefault="00C53F7D" w:rsidP="00C53F7D">
            <w:pPr>
              <w:spacing w:after="0" w:line="240" w:lineRule="auto"/>
              <w:jc w:val="center"/>
              <w:rPr>
                <w:sz w:val="22"/>
                <w:szCs w:val="22"/>
              </w:rPr>
            </w:pPr>
            <w:r w:rsidRPr="00F54C45">
              <w:rPr>
                <w:sz w:val="22"/>
                <w:szCs w:val="22"/>
              </w:rPr>
              <w:t>Targets</w:t>
            </w:r>
          </w:p>
        </w:tc>
      </w:tr>
      <w:tr w:rsidR="009B03D0" w:rsidRPr="00F54C45" w14:paraId="24C2282F" w14:textId="77777777" w:rsidTr="009B03D0">
        <w:trPr>
          <w:cantSplit/>
        </w:trPr>
        <w:tc>
          <w:tcPr>
            <w:tcW w:w="2121" w:type="dxa"/>
            <w:vMerge/>
            <w:vAlign w:val="center"/>
          </w:tcPr>
          <w:p w14:paraId="2876C261" w14:textId="77777777" w:rsidR="009B03D0" w:rsidRPr="00F54C45" w:rsidRDefault="009B03D0" w:rsidP="00027396">
            <w:pPr>
              <w:spacing w:after="0" w:line="240" w:lineRule="auto"/>
              <w:jc w:val="center"/>
              <w:rPr>
                <w:sz w:val="22"/>
                <w:szCs w:val="22"/>
              </w:rPr>
            </w:pPr>
          </w:p>
        </w:tc>
        <w:tc>
          <w:tcPr>
            <w:tcW w:w="3229" w:type="dxa"/>
            <w:vMerge/>
            <w:vAlign w:val="center"/>
          </w:tcPr>
          <w:p w14:paraId="6F0BDAE7" w14:textId="77777777" w:rsidR="009B03D0" w:rsidRPr="00F54C45" w:rsidRDefault="009B03D0" w:rsidP="00027396">
            <w:pPr>
              <w:spacing w:after="0" w:line="240" w:lineRule="auto"/>
              <w:jc w:val="center"/>
              <w:rPr>
                <w:sz w:val="22"/>
                <w:szCs w:val="22"/>
              </w:rPr>
            </w:pPr>
          </w:p>
        </w:tc>
        <w:tc>
          <w:tcPr>
            <w:tcW w:w="1986" w:type="dxa"/>
            <w:vMerge/>
            <w:vAlign w:val="center"/>
          </w:tcPr>
          <w:p w14:paraId="34D9BDB0" w14:textId="77777777" w:rsidR="009B03D0" w:rsidRPr="00F54C45" w:rsidRDefault="009B03D0" w:rsidP="00027396">
            <w:pPr>
              <w:spacing w:after="0" w:line="240" w:lineRule="auto"/>
              <w:jc w:val="center"/>
              <w:rPr>
                <w:sz w:val="22"/>
                <w:szCs w:val="22"/>
              </w:rPr>
            </w:pPr>
          </w:p>
        </w:tc>
        <w:tc>
          <w:tcPr>
            <w:tcW w:w="2124" w:type="dxa"/>
            <w:vMerge/>
            <w:vAlign w:val="center"/>
          </w:tcPr>
          <w:p w14:paraId="204EE6D3" w14:textId="77777777" w:rsidR="009B03D0" w:rsidRPr="00F54C45" w:rsidRDefault="009B03D0" w:rsidP="00027396">
            <w:pPr>
              <w:spacing w:after="0" w:line="240" w:lineRule="auto"/>
              <w:jc w:val="center"/>
              <w:rPr>
                <w:sz w:val="22"/>
                <w:szCs w:val="22"/>
              </w:rPr>
            </w:pPr>
          </w:p>
        </w:tc>
        <w:tc>
          <w:tcPr>
            <w:tcW w:w="710" w:type="dxa"/>
            <w:shd w:val="clear" w:color="auto" w:fill="D9D9D9" w:themeFill="background1" w:themeFillShade="D9"/>
            <w:vAlign w:val="center"/>
          </w:tcPr>
          <w:p w14:paraId="0DF9F6FC" w14:textId="77777777" w:rsidR="009B03D0" w:rsidRPr="00F54C45" w:rsidRDefault="009B03D0" w:rsidP="00027396">
            <w:pPr>
              <w:spacing w:after="0" w:line="240" w:lineRule="auto"/>
              <w:jc w:val="center"/>
              <w:rPr>
                <w:sz w:val="22"/>
                <w:szCs w:val="22"/>
              </w:rPr>
            </w:pPr>
            <w:r w:rsidRPr="00F54C45">
              <w:rPr>
                <w:sz w:val="22"/>
                <w:szCs w:val="22"/>
              </w:rPr>
              <w:t>2022</w:t>
            </w:r>
          </w:p>
        </w:tc>
        <w:tc>
          <w:tcPr>
            <w:tcW w:w="709" w:type="dxa"/>
            <w:shd w:val="clear" w:color="auto" w:fill="D9D9D9" w:themeFill="background1" w:themeFillShade="D9"/>
            <w:vAlign w:val="center"/>
          </w:tcPr>
          <w:p w14:paraId="4984DC37" w14:textId="77777777" w:rsidR="009B03D0" w:rsidRPr="00F54C45" w:rsidRDefault="009B03D0" w:rsidP="00027396">
            <w:pPr>
              <w:spacing w:after="0" w:line="240" w:lineRule="auto"/>
              <w:jc w:val="center"/>
              <w:rPr>
                <w:sz w:val="22"/>
                <w:szCs w:val="22"/>
              </w:rPr>
            </w:pPr>
            <w:r w:rsidRPr="00F54C45">
              <w:rPr>
                <w:sz w:val="22"/>
                <w:szCs w:val="22"/>
              </w:rPr>
              <w:t>2023</w:t>
            </w:r>
          </w:p>
        </w:tc>
        <w:tc>
          <w:tcPr>
            <w:tcW w:w="714" w:type="dxa"/>
            <w:shd w:val="clear" w:color="auto" w:fill="D9D9D9" w:themeFill="background1" w:themeFillShade="D9"/>
            <w:vAlign w:val="center"/>
          </w:tcPr>
          <w:p w14:paraId="09010C71" w14:textId="77777777" w:rsidR="009B03D0" w:rsidRPr="00F54C45" w:rsidRDefault="009B03D0" w:rsidP="00027396">
            <w:pPr>
              <w:spacing w:after="0" w:line="240" w:lineRule="auto"/>
              <w:jc w:val="center"/>
              <w:rPr>
                <w:sz w:val="22"/>
                <w:szCs w:val="22"/>
              </w:rPr>
            </w:pPr>
            <w:r w:rsidRPr="00F54C45">
              <w:rPr>
                <w:sz w:val="22"/>
                <w:szCs w:val="22"/>
              </w:rPr>
              <w:t>2024</w:t>
            </w:r>
          </w:p>
        </w:tc>
        <w:tc>
          <w:tcPr>
            <w:tcW w:w="2832" w:type="dxa"/>
            <w:vMerge/>
            <w:vAlign w:val="center"/>
          </w:tcPr>
          <w:p w14:paraId="0846F218" w14:textId="77777777" w:rsidR="009B03D0" w:rsidRPr="00F54C45" w:rsidRDefault="009B03D0" w:rsidP="00027396">
            <w:pPr>
              <w:spacing w:after="0" w:line="240" w:lineRule="auto"/>
              <w:jc w:val="center"/>
              <w:rPr>
                <w:sz w:val="22"/>
                <w:szCs w:val="22"/>
              </w:rPr>
            </w:pPr>
          </w:p>
        </w:tc>
      </w:tr>
      <w:tr w:rsidR="0029605C" w:rsidRPr="00F54C45" w14:paraId="06049A46" w14:textId="77777777" w:rsidTr="009B03D0">
        <w:trPr>
          <w:cantSplit/>
          <w:trHeight w:val="1953"/>
        </w:trPr>
        <w:tc>
          <w:tcPr>
            <w:tcW w:w="2121" w:type="dxa"/>
          </w:tcPr>
          <w:p w14:paraId="41F1B740" w14:textId="2F1E8CB6" w:rsidR="0029605C" w:rsidRPr="00F54C45" w:rsidRDefault="00C53F7D" w:rsidP="004E4A9B">
            <w:pPr>
              <w:spacing w:beforeLines="60" w:before="144" w:afterLines="60" w:after="144" w:line="240" w:lineRule="auto"/>
              <w:jc w:val="left"/>
              <w:rPr>
                <w:sz w:val="22"/>
                <w:szCs w:val="22"/>
              </w:rPr>
            </w:pPr>
            <w:r w:rsidRPr="00F54C45">
              <w:rPr>
                <w:sz w:val="22"/>
                <w:szCs w:val="22"/>
              </w:rPr>
              <w:lastRenderedPageBreak/>
              <w:t>Combat segregation by promoting balanced representation of women and men in teaching and research faculty</w:t>
            </w:r>
            <w:r w:rsidRPr="00F54C45">
              <w:rPr>
                <w:sz w:val="22"/>
                <w:szCs w:val="22"/>
              </w:rPr>
              <w:t xml:space="preserve"> </w:t>
            </w:r>
          </w:p>
        </w:tc>
        <w:tc>
          <w:tcPr>
            <w:tcW w:w="3229" w:type="dxa"/>
          </w:tcPr>
          <w:p w14:paraId="710FD888" w14:textId="61822CE0" w:rsidR="0029605C" w:rsidRPr="00F54C45" w:rsidRDefault="0029605C" w:rsidP="004E4A9B">
            <w:pPr>
              <w:spacing w:beforeLines="60" w:before="144" w:afterLines="60" w:after="144" w:line="240" w:lineRule="auto"/>
              <w:jc w:val="left"/>
              <w:rPr>
                <w:sz w:val="22"/>
                <w:szCs w:val="22"/>
              </w:rPr>
            </w:pPr>
            <w:r w:rsidRPr="00F54C45">
              <w:rPr>
                <w:sz w:val="22"/>
                <w:szCs w:val="22"/>
              </w:rPr>
              <w:t>13</w:t>
            </w:r>
            <w:r w:rsidR="00EF32A3" w:rsidRPr="00F54C45">
              <w:rPr>
                <w:sz w:val="22"/>
                <w:szCs w:val="22"/>
              </w:rPr>
              <w:t>. Campaigns to encourage female candidates for scientific career advancement</w:t>
            </w:r>
          </w:p>
        </w:tc>
        <w:tc>
          <w:tcPr>
            <w:tcW w:w="1986" w:type="dxa"/>
          </w:tcPr>
          <w:p w14:paraId="07F2C1C9" w14:textId="482A104B" w:rsidR="0029605C" w:rsidRPr="00F54C45" w:rsidRDefault="0029605C" w:rsidP="004E4A9B">
            <w:pPr>
              <w:spacing w:beforeLines="60" w:before="144" w:afterLines="60" w:after="144" w:line="240" w:lineRule="auto"/>
              <w:jc w:val="left"/>
              <w:rPr>
                <w:sz w:val="22"/>
                <w:szCs w:val="22"/>
              </w:rPr>
            </w:pPr>
            <w:r w:rsidRPr="00F54C45">
              <w:rPr>
                <w:b/>
                <w:sz w:val="22"/>
                <w:szCs w:val="22"/>
              </w:rPr>
              <w:t>GDI</w:t>
            </w:r>
            <w:r w:rsidRPr="00F54C45">
              <w:rPr>
                <w:sz w:val="22"/>
                <w:szCs w:val="22"/>
              </w:rPr>
              <w:t>; GCRP</w:t>
            </w:r>
          </w:p>
        </w:tc>
        <w:tc>
          <w:tcPr>
            <w:tcW w:w="2124" w:type="dxa"/>
          </w:tcPr>
          <w:p w14:paraId="50D060D6" w14:textId="77777777" w:rsidR="00EF32A3" w:rsidRPr="00F54C45" w:rsidRDefault="00EF32A3" w:rsidP="00EF32A3">
            <w:pPr>
              <w:spacing w:beforeLines="60" w:before="144" w:afterLines="60" w:after="144" w:line="240" w:lineRule="auto"/>
              <w:jc w:val="left"/>
              <w:rPr>
                <w:sz w:val="22"/>
                <w:szCs w:val="22"/>
              </w:rPr>
            </w:pPr>
            <w:r w:rsidRPr="00F54C45">
              <w:rPr>
                <w:sz w:val="22"/>
                <w:szCs w:val="22"/>
              </w:rPr>
              <w:t xml:space="preserve">No. of campaigns carried out; </w:t>
            </w:r>
          </w:p>
          <w:p w14:paraId="651FC9DB" w14:textId="77777777" w:rsidR="00EF32A3" w:rsidRPr="00F54C45" w:rsidRDefault="00EF32A3" w:rsidP="00EF32A3">
            <w:pPr>
              <w:spacing w:beforeLines="60" w:before="144" w:afterLines="60" w:after="144" w:line="240" w:lineRule="auto"/>
              <w:jc w:val="left"/>
              <w:rPr>
                <w:sz w:val="22"/>
                <w:szCs w:val="22"/>
              </w:rPr>
            </w:pPr>
            <w:r w:rsidRPr="00F54C45">
              <w:rPr>
                <w:sz w:val="22"/>
                <w:szCs w:val="22"/>
              </w:rPr>
              <w:t xml:space="preserve">No. of surveys filled out by participants; </w:t>
            </w:r>
          </w:p>
          <w:p w14:paraId="0700F08C" w14:textId="0F8FC7C7" w:rsidR="0029605C" w:rsidRPr="00F54C45" w:rsidRDefault="00EF32A3" w:rsidP="00EF32A3">
            <w:pPr>
              <w:spacing w:beforeLines="60" w:before="144" w:afterLines="60" w:after="144" w:line="240" w:lineRule="auto"/>
              <w:jc w:val="left"/>
              <w:rPr>
                <w:sz w:val="22"/>
                <w:szCs w:val="22"/>
                <w:lang w:val="pt-PT"/>
              </w:rPr>
            </w:pPr>
            <w:r w:rsidRPr="00F54C45">
              <w:rPr>
                <w:sz w:val="22"/>
                <w:szCs w:val="22"/>
                <w:lang w:val="pt-PT"/>
              </w:rPr>
              <w:t>No. of survey responses.</w:t>
            </w:r>
          </w:p>
        </w:tc>
        <w:tc>
          <w:tcPr>
            <w:tcW w:w="710" w:type="dxa"/>
          </w:tcPr>
          <w:p w14:paraId="4A18EAFF" w14:textId="4EC91425" w:rsidR="0029605C" w:rsidRPr="00F54C45" w:rsidRDefault="0029605C" w:rsidP="00BB7EB6">
            <w:pPr>
              <w:spacing w:beforeLines="60" w:before="144" w:afterLines="60" w:after="144" w:line="240" w:lineRule="auto"/>
              <w:jc w:val="center"/>
              <w:rPr>
                <w:sz w:val="22"/>
                <w:szCs w:val="22"/>
              </w:rPr>
            </w:pPr>
            <w:r w:rsidRPr="00F54C45">
              <w:rPr>
                <w:sz w:val="22"/>
                <w:szCs w:val="22"/>
              </w:rPr>
              <w:t>x</w:t>
            </w:r>
          </w:p>
        </w:tc>
        <w:tc>
          <w:tcPr>
            <w:tcW w:w="709" w:type="dxa"/>
          </w:tcPr>
          <w:p w14:paraId="38FC250F" w14:textId="6B0F36CB" w:rsidR="0029605C" w:rsidRPr="00F54C45" w:rsidRDefault="0029605C" w:rsidP="00BB7EB6">
            <w:pPr>
              <w:spacing w:beforeLines="60" w:before="144" w:afterLines="60" w:after="144" w:line="240" w:lineRule="auto"/>
              <w:jc w:val="center"/>
              <w:rPr>
                <w:sz w:val="22"/>
                <w:szCs w:val="22"/>
              </w:rPr>
            </w:pPr>
            <w:r w:rsidRPr="00F54C45">
              <w:rPr>
                <w:sz w:val="22"/>
                <w:szCs w:val="22"/>
              </w:rPr>
              <w:t>x</w:t>
            </w:r>
          </w:p>
        </w:tc>
        <w:tc>
          <w:tcPr>
            <w:tcW w:w="714" w:type="dxa"/>
          </w:tcPr>
          <w:p w14:paraId="3C2683EB" w14:textId="00189C0F" w:rsidR="0029605C" w:rsidRPr="00F54C45" w:rsidRDefault="0029605C" w:rsidP="00BB7EB6">
            <w:pPr>
              <w:spacing w:beforeLines="60" w:before="144" w:afterLines="60" w:after="144" w:line="240" w:lineRule="auto"/>
              <w:jc w:val="center"/>
              <w:rPr>
                <w:sz w:val="22"/>
                <w:szCs w:val="22"/>
              </w:rPr>
            </w:pPr>
            <w:r w:rsidRPr="00F54C45">
              <w:rPr>
                <w:sz w:val="22"/>
                <w:szCs w:val="22"/>
              </w:rPr>
              <w:t>x</w:t>
            </w:r>
          </w:p>
        </w:tc>
        <w:tc>
          <w:tcPr>
            <w:tcW w:w="2832" w:type="dxa"/>
          </w:tcPr>
          <w:p w14:paraId="2C9FB58D" w14:textId="39B98F5B" w:rsidR="0029605C" w:rsidRPr="00F54C45" w:rsidRDefault="0029605C" w:rsidP="004E4A9B">
            <w:pPr>
              <w:spacing w:beforeLines="60" w:before="144" w:afterLines="60" w:after="144" w:line="240" w:lineRule="auto"/>
              <w:jc w:val="left"/>
              <w:rPr>
                <w:sz w:val="22"/>
                <w:szCs w:val="22"/>
              </w:rPr>
            </w:pPr>
            <w:r w:rsidRPr="00F54C45">
              <w:rPr>
                <w:sz w:val="22"/>
                <w:szCs w:val="22"/>
              </w:rPr>
              <w:t>1 campa</w:t>
            </w:r>
            <w:r w:rsidR="00EF32A3" w:rsidRPr="00F54C45">
              <w:rPr>
                <w:sz w:val="22"/>
                <w:szCs w:val="22"/>
              </w:rPr>
              <w:t>ign per year</w:t>
            </w:r>
          </w:p>
        </w:tc>
      </w:tr>
      <w:tr w:rsidR="005E3D16" w:rsidRPr="00F54C45" w14:paraId="36FF8AEF" w14:textId="77777777" w:rsidTr="009B03D0">
        <w:trPr>
          <w:cantSplit/>
        </w:trPr>
        <w:tc>
          <w:tcPr>
            <w:tcW w:w="2121" w:type="dxa"/>
          </w:tcPr>
          <w:p w14:paraId="7E7C4D9D" w14:textId="74D6C6BF" w:rsidR="0020641F" w:rsidRPr="00F54C45" w:rsidRDefault="00C53F7D" w:rsidP="004E4A9B">
            <w:pPr>
              <w:spacing w:beforeLines="60" w:before="144" w:afterLines="60" w:after="144" w:line="240" w:lineRule="auto"/>
              <w:jc w:val="left"/>
              <w:rPr>
                <w:sz w:val="22"/>
                <w:szCs w:val="22"/>
              </w:rPr>
            </w:pPr>
            <w:r w:rsidRPr="00F54C45">
              <w:rPr>
                <w:sz w:val="22"/>
                <w:szCs w:val="22"/>
              </w:rPr>
              <w:t>To promote the choice by students of both genders of scientific areas/studies where one gender is under-represented</w:t>
            </w:r>
          </w:p>
        </w:tc>
        <w:tc>
          <w:tcPr>
            <w:tcW w:w="3229" w:type="dxa"/>
          </w:tcPr>
          <w:p w14:paraId="01BA8902" w14:textId="40B71E34" w:rsidR="0020641F" w:rsidRPr="00F54C45" w:rsidRDefault="006827E2" w:rsidP="004E4A9B">
            <w:pPr>
              <w:spacing w:beforeLines="60" w:before="144" w:afterLines="60" w:after="144" w:line="240" w:lineRule="auto"/>
              <w:jc w:val="left"/>
              <w:rPr>
                <w:sz w:val="22"/>
                <w:szCs w:val="22"/>
              </w:rPr>
            </w:pPr>
            <w:r w:rsidRPr="00F54C45">
              <w:rPr>
                <w:sz w:val="22"/>
                <w:szCs w:val="22"/>
              </w:rPr>
              <w:t xml:space="preserve">14. </w:t>
            </w:r>
            <w:r w:rsidR="00EF32A3" w:rsidRPr="00F54C45">
              <w:rPr>
                <w:sz w:val="22"/>
                <w:szCs w:val="22"/>
              </w:rPr>
              <w:t>Promotion of thematic events to increase demand and reduce the discrepancy</w:t>
            </w:r>
          </w:p>
        </w:tc>
        <w:tc>
          <w:tcPr>
            <w:tcW w:w="1986" w:type="dxa"/>
          </w:tcPr>
          <w:p w14:paraId="6C26C6B3" w14:textId="10BFE73D" w:rsidR="0020641F" w:rsidRPr="00F54C45" w:rsidRDefault="0020641F" w:rsidP="004E4A9B">
            <w:pPr>
              <w:spacing w:beforeLines="60" w:before="144" w:afterLines="60" w:after="144" w:line="240" w:lineRule="auto"/>
              <w:jc w:val="left"/>
              <w:rPr>
                <w:sz w:val="22"/>
                <w:szCs w:val="22"/>
              </w:rPr>
            </w:pPr>
            <w:r w:rsidRPr="00F54C45">
              <w:rPr>
                <w:b/>
                <w:sz w:val="22"/>
                <w:szCs w:val="22"/>
              </w:rPr>
              <w:t>GDI</w:t>
            </w:r>
            <w:r w:rsidRPr="00F54C45">
              <w:rPr>
                <w:sz w:val="22"/>
                <w:szCs w:val="22"/>
              </w:rPr>
              <w:t>; GCRP</w:t>
            </w:r>
          </w:p>
        </w:tc>
        <w:tc>
          <w:tcPr>
            <w:tcW w:w="2124" w:type="dxa"/>
          </w:tcPr>
          <w:p w14:paraId="7159B6F2" w14:textId="77777777" w:rsidR="00EF32A3" w:rsidRPr="00F54C45" w:rsidRDefault="00EF32A3" w:rsidP="00EF32A3">
            <w:pPr>
              <w:spacing w:beforeLines="60" w:before="144" w:afterLines="60" w:after="144" w:line="240" w:lineRule="auto"/>
              <w:jc w:val="left"/>
              <w:rPr>
                <w:sz w:val="22"/>
                <w:szCs w:val="22"/>
              </w:rPr>
            </w:pPr>
            <w:r w:rsidRPr="00F54C45">
              <w:rPr>
                <w:sz w:val="22"/>
                <w:szCs w:val="22"/>
              </w:rPr>
              <w:t xml:space="preserve">No. of events held; </w:t>
            </w:r>
          </w:p>
          <w:p w14:paraId="19CC54A2" w14:textId="77777777" w:rsidR="00EF32A3" w:rsidRPr="00F54C45" w:rsidRDefault="00EF32A3" w:rsidP="00EF32A3">
            <w:pPr>
              <w:spacing w:beforeLines="60" w:before="144" w:afterLines="60" w:after="144" w:line="240" w:lineRule="auto"/>
              <w:jc w:val="left"/>
              <w:rPr>
                <w:sz w:val="22"/>
                <w:szCs w:val="22"/>
              </w:rPr>
            </w:pPr>
            <w:r w:rsidRPr="00F54C45">
              <w:rPr>
                <w:sz w:val="22"/>
                <w:szCs w:val="22"/>
              </w:rPr>
              <w:t xml:space="preserve">No. of participants; </w:t>
            </w:r>
          </w:p>
          <w:p w14:paraId="4ED781EC" w14:textId="77777777" w:rsidR="00EF32A3" w:rsidRPr="00F54C45" w:rsidRDefault="00EF32A3" w:rsidP="00EF32A3">
            <w:pPr>
              <w:spacing w:beforeLines="60" w:before="144" w:afterLines="60" w:after="144" w:line="240" w:lineRule="auto"/>
              <w:jc w:val="left"/>
              <w:rPr>
                <w:sz w:val="22"/>
                <w:szCs w:val="22"/>
              </w:rPr>
            </w:pPr>
            <w:r w:rsidRPr="00F54C45">
              <w:rPr>
                <w:sz w:val="22"/>
                <w:szCs w:val="22"/>
              </w:rPr>
              <w:t xml:space="preserve">No. of surveys filled out by participants; </w:t>
            </w:r>
          </w:p>
          <w:p w14:paraId="26A1AAFB" w14:textId="3CA027FB" w:rsidR="0020641F" w:rsidRPr="00F54C45" w:rsidRDefault="00EF32A3" w:rsidP="00EF32A3">
            <w:pPr>
              <w:spacing w:beforeLines="60" w:before="144" w:afterLines="60" w:after="144" w:line="240" w:lineRule="auto"/>
              <w:jc w:val="left"/>
              <w:rPr>
                <w:sz w:val="22"/>
                <w:szCs w:val="22"/>
                <w:lang w:val="pt-PT"/>
              </w:rPr>
            </w:pPr>
            <w:r w:rsidRPr="00F54C45">
              <w:rPr>
                <w:sz w:val="22"/>
                <w:szCs w:val="22"/>
                <w:lang w:val="pt-PT"/>
              </w:rPr>
              <w:t>No. of survey responses.</w:t>
            </w:r>
          </w:p>
        </w:tc>
        <w:tc>
          <w:tcPr>
            <w:tcW w:w="710" w:type="dxa"/>
          </w:tcPr>
          <w:p w14:paraId="23292398" w14:textId="244C726D" w:rsidR="0020641F" w:rsidRPr="00F54C45" w:rsidRDefault="0020641F" w:rsidP="00BB7EB6">
            <w:pPr>
              <w:spacing w:beforeLines="60" w:before="144" w:afterLines="60" w:after="144" w:line="240" w:lineRule="auto"/>
              <w:jc w:val="center"/>
              <w:rPr>
                <w:sz w:val="22"/>
                <w:szCs w:val="22"/>
              </w:rPr>
            </w:pPr>
            <w:r w:rsidRPr="00F54C45">
              <w:rPr>
                <w:sz w:val="22"/>
                <w:szCs w:val="22"/>
              </w:rPr>
              <w:t>x</w:t>
            </w:r>
          </w:p>
        </w:tc>
        <w:tc>
          <w:tcPr>
            <w:tcW w:w="709" w:type="dxa"/>
          </w:tcPr>
          <w:p w14:paraId="7C4751D6" w14:textId="23CE7F97" w:rsidR="0020641F" w:rsidRPr="00F54C45" w:rsidRDefault="0020641F" w:rsidP="00BB7EB6">
            <w:pPr>
              <w:spacing w:beforeLines="60" w:before="144" w:afterLines="60" w:after="144" w:line="240" w:lineRule="auto"/>
              <w:jc w:val="center"/>
              <w:rPr>
                <w:sz w:val="22"/>
                <w:szCs w:val="22"/>
              </w:rPr>
            </w:pPr>
            <w:r w:rsidRPr="00F54C45">
              <w:rPr>
                <w:sz w:val="22"/>
                <w:szCs w:val="22"/>
              </w:rPr>
              <w:t>x</w:t>
            </w:r>
          </w:p>
        </w:tc>
        <w:tc>
          <w:tcPr>
            <w:tcW w:w="714" w:type="dxa"/>
          </w:tcPr>
          <w:p w14:paraId="571B73DB" w14:textId="44017BFA" w:rsidR="0020641F" w:rsidRPr="00F54C45" w:rsidRDefault="0020641F" w:rsidP="00BB7EB6">
            <w:pPr>
              <w:spacing w:beforeLines="60" w:before="144" w:afterLines="60" w:after="144" w:line="240" w:lineRule="auto"/>
              <w:jc w:val="center"/>
              <w:rPr>
                <w:sz w:val="22"/>
                <w:szCs w:val="22"/>
              </w:rPr>
            </w:pPr>
            <w:r w:rsidRPr="00F54C45">
              <w:rPr>
                <w:sz w:val="22"/>
                <w:szCs w:val="22"/>
              </w:rPr>
              <w:t>x</w:t>
            </w:r>
          </w:p>
        </w:tc>
        <w:tc>
          <w:tcPr>
            <w:tcW w:w="2832" w:type="dxa"/>
          </w:tcPr>
          <w:p w14:paraId="53386ECD" w14:textId="5001C32C" w:rsidR="0020641F" w:rsidRPr="00F54C45" w:rsidRDefault="00EF32A3" w:rsidP="004E4A9B">
            <w:pPr>
              <w:spacing w:beforeLines="60" w:before="144" w:afterLines="60" w:after="144" w:line="240" w:lineRule="auto"/>
              <w:jc w:val="left"/>
              <w:rPr>
                <w:bCs/>
                <w:sz w:val="22"/>
                <w:szCs w:val="22"/>
              </w:rPr>
            </w:pPr>
            <w:r w:rsidRPr="00F54C45">
              <w:rPr>
                <w:sz w:val="22"/>
                <w:szCs w:val="22"/>
              </w:rPr>
              <w:t>Reduce the gender division in science, technology and engineering by deconstructing stereotypes about professions in these areas by x%.</w:t>
            </w:r>
          </w:p>
        </w:tc>
      </w:tr>
      <w:tr w:rsidR="00DB1FBF" w:rsidRPr="00F54C45" w14:paraId="53786364" w14:textId="77777777" w:rsidTr="009B03D0">
        <w:trPr>
          <w:cantSplit/>
        </w:trPr>
        <w:tc>
          <w:tcPr>
            <w:tcW w:w="2121" w:type="dxa"/>
          </w:tcPr>
          <w:p w14:paraId="630DB1BC" w14:textId="31A84A81" w:rsidR="00DB1FBF" w:rsidRPr="00F54C45" w:rsidRDefault="00C53F7D" w:rsidP="004E4A9B">
            <w:pPr>
              <w:spacing w:beforeLines="60" w:before="144" w:afterLines="60" w:after="144" w:line="240" w:lineRule="auto"/>
              <w:jc w:val="left"/>
              <w:rPr>
                <w:sz w:val="22"/>
                <w:szCs w:val="22"/>
              </w:rPr>
            </w:pPr>
            <w:r w:rsidRPr="00F54C45">
              <w:rPr>
                <w:sz w:val="22"/>
                <w:szCs w:val="22"/>
              </w:rPr>
              <w:t>Raise awareness in the international community about the importance of gender equality in education and research</w:t>
            </w:r>
          </w:p>
        </w:tc>
        <w:tc>
          <w:tcPr>
            <w:tcW w:w="3229" w:type="dxa"/>
          </w:tcPr>
          <w:p w14:paraId="1F685563" w14:textId="6239AE30" w:rsidR="00DB1FBF" w:rsidRPr="00F54C45" w:rsidRDefault="00DB1FBF" w:rsidP="004E4A9B">
            <w:pPr>
              <w:spacing w:beforeLines="60" w:before="144" w:afterLines="60" w:after="144" w:line="240" w:lineRule="auto"/>
              <w:jc w:val="left"/>
              <w:rPr>
                <w:sz w:val="22"/>
                <w:szCs w:val="22"/>
              </w:rPr>
            </w:pPr>
            <w:r w:rsidRPr="00F54C45">
              <w:rPr>
                <w:sz w:val="22"/>
                <w:szCs w:val="22"/>
              </w:rPr>
              <w:t>15.</w:t>
            </w:r>
            <w:r w:rsidR="00EF32A3" w:rsidRPr="00F54C45">
              <w:t xml:space="preserve"> </w:t>
            </w:r>
            <w:r w:rsidR="00EF32A3" w:rsidRPr="00F54C45">
              <w:rPr>
                <w:sz w:val="22"/>
                <w:szCs w:val="22"/>
              </w:rPr>
              <w:t>O</w:t>
            </w:r>
            <w:r w:rsidR="00EF32A3" w:rsidRPr="00F54C45">
              <w:rPr>
                <w:sz w:val="22"/>
                <w:szCs w:val="22"/>
              </w:rPr>
              <w:t>rganisation of</w:t>
            </w:r>
            <w:r w:rsidRPr="00F54C45">
              <w:rPr>
                <w:sz w:val="22"/>
                <w:szCs w:val="22"/>
              </w:rPr>
              <w:t xml:space="preserve"> </w:t>
            </w:r>
            <w:r w:rsidR="00EF32A3" w:rsidRPr="00F54C45">
              <w:rPr>
                <w:sz w:val="22"/>
                <w:szCs w:val="22"/>
              </w:rPr>
              <w:t>International event</w:t>
            </w:r>
          </w:p>
        </w:tc>
        <w:tc>
          <w:tcPr>
            <w:tcW w:w="1986" w:type="dxa"/>
          </w:tcPr>
          <w:p w14:paraId="00A07383" w14:textId="2D16C868" w:rsidR="00DB1FBF" w:rsidRPr="00F54C45" w:rsidRDefault="00DB1FBF" w:rsidP="004E4A9B">
            <w:pPr>
              <w:spacing w:beforeLines="60" w:before="144" w:afterLines="60" w:after="144" w:line="240" w:lineRule="auto"/>
              <w:jc w:val="left"/>
              <w:rPr>
                <w:sz w:val="22"/>
                <w:szCs w:val="22"/>
              </w:rPr>
            </w:pPr>
            <w:r w:rsidRPr="00F54C45">
              <w:rPr>
                <w:b/>
                <w:sz w:val="22"/>
                <w:szCs w:val="22"/>
              </w:rPr>
              <w:t>GRI</w:t>
            </w:r>
            <w:r w:rsidRPr="00F54C45">
              <w:rPr>
                <w:sz w:val="22"/>
                <w:szCs w:val="22"/>
              </w:rPr>
              <w:t>; GDI; GCRP</w:t>
            </w:r>
          </w:p>
        </w:tc>
        <w:tc>
          <w:tcPr>
            <w:tcW w:w="2124" w:type="dxa"/>
          </w:tcPr>
          <w:p w14:paraId="230FC853" w14:textId="77777777" w:rsidR="00EF32A3" w:rsidRPr="00F54C45" w:rsidRDefault="00EF32A3" w:rsidP="00EF32A3">
            <w:pPr>
              <w:spacing w:beforeLines="60" w:before="144" w:afterLines="60" w:after="144" w:line="240" w:lineRule="auto"/>
              <w:jc w:val="left"/>
              <w:rPr>
                <w:sz w:val="22"/>
                <w:szCs w:val="22"/>
              </w:rPr>
            </w:pPr>
            <w:r w:rsidRPr="00F54C45">
              <w:rPr>
                <w:sz w:val="22"/>
                <w:szCs w:val="22"/>
              </w:rPr>
              <w:t xml:space="preserve">Event; </w:t>
            </w:r>
          </w:p>
          <w:p w14:paraId="2F84DB84" w14:textId="77777777" w:rsidR="00EF32A3" w:rsidRPr="00F54C45" w:rsidRDefault="00EF32A3" w:rsidP="00EF32A3">
            <w:pPr>
              <w:spacing w:beforeLines="60" w:before="144" w:afterLines="60" w:after="144" w:line="240" w:lineRule="auto"/>
              <w:jc w:val="left"/>
              <w:rPr>
                <w:sz w:val="22"/>
                <w:szCs w:val="22"/>
              </w:rPr>
            </w:pPr>
            <w:r w:rsidRPr="00F54C45">
              <w:rPr>
                <w:sz w:val="22"/>
                <w:szCs w:val="22"/>
              </w:rPr>
              <w:t xml:space="preserve">Number of participants; </w:t>
            </w:r>
          </w:p>
          <w:p w14:paraId="16E615BF" w14:textId="77777777" w:rsidR="00EF32A3" w:rsidRPr="00F54C45" w:rsidRDefault="00EF32A3" w:rsidP="00EF32A3">
            <w:pPr>
              <w:spacing w:beforeLines="60" w:before="144" w:afterLines="60" w:after="144" w:line="240" w:lineRule="auto"/>
              <w:jc w:val="left"/>
              <w:rPr>
                <w:sz w:val="22"/>
                <w:szCs w:val="22"/>
              </w:rPr>
            </w:pPr>
            <w:r w:rsidRPr="00F54C45">
              <w:rPr>
                <w:sz w:val="22"/>
                <w:szCs w:val="22"/>
              </w:rPr>
              <w:t xml:space="preserve">No. of surveys filled out by participants; </w:t>
            </w:r>
          </w:p>
          <w:p w14:paraId="267C1313" w14:textId="13DCFC1C" w:rsidR="00DB1FBF" w:rsidRPr="00F54C45" w:rsidRDefault="00EF32A3" w:rsidP="00EF32A3">
            <w:pPr>
              <w:spacing w:beforeLines="60" w:before="144" w:afterLines="60" w:after="144" w:line="240" w:lineRule="auto"/>
              <w:jc w:val="left"/>
              <w:rPr>
                <w:sz w:val="22"/>
                <w:szCs w:val="22"/>
                <w:lang w:val="pt-PT"/>
              </w:rPr>
            </w:pPr>
            <w:r w:rsidRPr="00F54C45">
              <w:rPr>
                <w:sz w:val="22"/>
                <w:szCs w:val="22"/>
                <w:lang w:val="pt-PT"/>
              </w:rPr>
              <w:t>No. of survey responses.</w:t>
            </w:r>
          </w:p>
        </w:tc>
        <w:tc>
          <w:tcPr>
            <w:tcW w:w="710" w:type="dxa"/>
          </w:tcPr>
          <w:p w14:paraId="00F4995F" w14:textId="77777777" w:rsidR="00DB1FBF" w:rsidRPr="00F54C45" w:rsidRDefault="00DB1FBF" w:rsidP="00BB7EB6">
            <w:pPr>
              <w:spacing w:beforeLines="60" w:before="144" w:afterLines="60" w:after="144" w:line="240" w:lineRule="auto"/>
              <w:jc w:val="center"/>
              <w:rPr>
                <w:sz w:val="22"/>
                <w:szCs w:val="22"/>
                <w:lang w:val="pt-PT"/>
              </w:rPr>
            </w:pPr>
          </w:p>
        </w:tc>
        <w:tc>
          <w:tcPr>
            <w:tcW w:w="709" w:type="dxa"/>
          </w:tcPr>
          <w:p w14:paraId="42AC8BD8" w14:textId="1C8B112E" w:rsidR="00DB1FBF" w:rsidRPr="00F54C45" w:rsidRDefault="00DB1FBF" w:rsidP="00BB7EB6">
            <w:pPr>
              <w:spacing w:beforeLines="60" w:before="144" w:afterLines="60" w:after="144" w:line="240" w:lineRule="auto"/>
              <w:jc w:val="center"/>
              <w:rPr>
                <w:sz w:val="22"/>
                <w:szCs w:val="22"/>
              </w:rPr>
            </w:pPr>
            <w:r w:rsidRPr="00F54C45">
              <w:rPr>
                <w:sz w:val="22"/>
                <w:szCs w:val="22"/>
              </w:rPr>
              <w:t>x</w:t>
            </w:r>
          </w:p>
        </w:tc>
        <w:tc>
          <w:tcPr>
            <w:tcW w:w="714" w:type="dxa"/>
          </w:tcPr>
          <w:p w14:paraId="707DB3BF" w14:textId="77777777" w:rsidR="00DB1FBF" w:rsidRPr="00F54C45" w:rsidRDefault="00DB1FBF" w:rsidP="00BB7EB6">
            <w:pPr>
              <w:spacing w:beforeLines="60" w:before="144" w:afterLines="60" w:after="144" w:line="240" w:lineRule="auto"/>
              <w:jc w:val="center"/>
              <w:rPr>
                <w:sz w:val="22"/>
                <w:szCs w:val="22"/>
              </w:rPr>
            </w:pPr>
          </w:p>
        </w:tc>
        <w:tc>
          <w:tcPr>
            <w:tcW w:w="2832" w:type="dxa"/>
          </w:tcPr>
          <w:p w14:paraId="2165A505" w14:textId="2643E70B" w:rsidR="00DB1FBF" w:rsidRPr="00F54C45" w:rsidRDefault="00EF32A3" w:rsidP="004E4A9B">
            <w:pPr>
              <w:spacing w:beforeLines="60" w:before="144" w:afterLines="60" w:after="144" w:line="240" w:lineRule="auto"/>
              <w:jc w:val="left"/>
              <w:rPr>
                <w:sz w:val="22"/>
                <w:szCs w:val="22"/>
              </w:rPr>
            </w:pPr>
            <w:r w:rsidRPr="00F54C45">
              <w:rPr>
                <w:sz w:val="22"/>
                <w:szCs w:val="22"/>
              </w:rPr>
              <w:t>1 thematic event per triennium</w:t>
            </w:r>
          </w:p>
        </w:tc>
      </w:tr>
    </w:tbl>
    <w:p w14:paraId="6361343E" w14:textId="478C6605" w:rsidR="00EA22BC" w:rsidRPr="00F54C45" w:rsidRDefault="00EA22BC">
      <w:pPr>
        <w:spacing w:after="160" w:line="259" w:lineRule="auto"/>
        <w:jc w:val="left"/>
      </w:pPr>
    </w:p>
    <w:tbl>
      <w:tblPr>
        <w:tblStyle w:val="Tabelacomgrade"/>
        <w:tblW w:w="14425" w:type="dxa"/>
        <w:tblLayout w:type="fixed"/>
        <w:tblLook w:val="04A0" w:firstRow="1" w:lastRow="0" w:firstColumn="1" w:lastColumn="0" w:noHBand="0" w:noVBand="1"/>
      </w:tblPr>
      <w:tblGrid>
        <w:gridCol w:w="2121"/>
        <w:gridCol w:w="3230"/>
        <w:gridCol w:w="1984"/>
        <w:gridCol w:w="2125"/>
        <w:gridCol w:w="709"/>
        <w:gridCol w:w="709"/>
        <w:gridCol w:w="714"/>
        <w:gridCol w:w="2833"/>
      </w:tblGrid>
      <w:tr w:rsidR="009B4ED6" w:rsidRPr="00F54C45" w14:paraId="107A08EC" w14:textId="77777777" w:rsidTr="00027396">
        <w:trPr>
          <w:cantSplit/>
        </w:trPr>
        <w:tc>
          <w:tcPr>
            <w:tcW w:w="14425" w:type="dxa"/>
            <w:gridSpan w:val="8"/>
            <w:shd w:val="clear" w:color="auto" w:fill="92D050"/>
            <w:vAlign w:val="center"/>
          </w:tcPr>
          <w:p w14:paraId="487A2213" w14:textId="64E8B120" w:rsidR="009B4ED6" w:rsidRPr="00F54C45" w:rsidRDefault="00814D5B" w:rsidP="00027396">
            <w:pPr>
              <w:spacing w:after="0" w:line="240" w:lineRule="auto"/>
              <w:jc w:val="center"/>
              <w:rPr>
                <w:sz w:val="22"/>
                <w:szCs w:val="22"/>
              </w:rPr>
            </w:pPr>
            <w:r w:rsidRPr="00F54C45">
              <w:rPr>
                <w:sz w:val="22"/>
                <w:szCs w:val="22"/>
              </w:rPr>
              <w:t>Priority Area</w:t>
            </w:r>
            <w:r w:rsidR="009B4ED6" w:rsidRPr="00F54C45">
              <w:rPr>
                <w:sz w:val="22"/>
                <w:szCs w:val="22"/>
              </w:rPr>
              <w:t xml:space="preserve"> 4 – </w:t>
            </w:r>
            <w:r w:rsidR="00EF32A3" w:rsidRPr="00F54C45">
              <w:rPr>
                <w:sz w:val="22"/>
                <w:szCs w:val="22"/>
              </w:rPr>
              <w:t>Harassment, sexist attitudes and violence</w:t>
            </w:r>
          </w:p>
        </w:tc>
      </w:tr>
      <w:tr w:rsidR="00EF32A3" w:rsidRPr="00F54C45" w14:paraId="36C267EA" w14:textId="77777777" w:rsidTr="00027396">
        <w:trPr>
          <w:cantSplit/>
        </w:trPr>
        <w:tc>
          <w:tcPr>
            <w:tcW w:w="2121" w:type="dxa"/>
            <w:vMerge w:val="restart"/>
            <w:shd w:val="clear" w:color="auto" w:fill="D9D9D9" w:themeFill="background1" w:themeFillShade="D9"/>
            <w:vAlign w:val="center"/>
          </w:tcPr>
          <w:p w14:paraId="34B50D4B" w14:textId="2CBC4336" w:rsidR="00EF32A3" w:rsidRPr="00F54C45" w:rsidRDefault="00EF32A3" w:rsidP="00EF32A3">
            <w:pPr>
              <w:spacing w:after="0" w:line="240" w:lineRule="auto"/>
              <w:jc w:val="center"/>
              <w:rPr>
                <w:sz w:val="22"/>
                <w:szCs w:val="22"/>
              </w:rPr>
            </w:pPr>
            <w:r w:rsidRPr="00F54C45">
              <w:rPr>
                <w:sz w:val="22"/>
                <w:szCs w:val="22"/>
              </w:rPr>
              <w:t>Goals</w:t>
            </w:r>
          </w:p>
        </w:tc>
        <w:tc>
          <w:tcPr>
            <w:tcW w:w="3230" w:type="dxa"/>
            <w:vMerge w:val="restart"/>
            <w:shd w:val="clear" w:color="auto" w:fill="D9D9D9" w:themeFill="background1" w:themeFillShade="D9"/>
            <w:vAlign w:val="center"/>
          </w:tcPr>
          <w:p w14:paraId="20CBBBA2" w14:textId="27856527" w:rsidR="00EF32A3" w:rsidRPr="00F54C45" w:rsidRDefault="00EF32A3" w:rsidP="00EF32A3">
            <w:pPr>
              <w:spacing w:after="0" w:line="240" w:lineRule="auto"/>
              <w:jc w:val="center"/>
              <w:rPr>
                <w:sz w:val="22"/>
                <w:szCs w:val="22"/>
              </w:rPr>
            </w:pPr>
            <w:r w:rsidRPr="00F54C45">
              <w:rPr>
                <w:sz w:val="22"/>
                <w:szCs w:val="22"/>
              </w:rPr>
              <w:t>Actions</w:t>
            </w:r>
          </w:p>
        </w:tc>
        <w:tc>
          <w:tcPr>
            <w:tcW w:w="1984" w:type="dxa"/>
            <w:vMerge w:val="restart"/>
            <w:shd w:val="clear" w:color="auto" w:fill="D9D9D9" w:themeFill="background1" w:themeFillShade="D9"/>
            <w:vAlign w:val="center"/>
          </w:tcPr>
          <w:p w14:paraId="1274D93A" w14:textId="77777777" w:rsidR="00EF32A3" w:rsidRPr="00F54C45" w:rsidRDefault="00EF32A3" w:rsidP="00EF32A3">
            <w:pPr>
              <w:spacing w:after="0" w:line="240" w:lineRule="auto"/>
              <w:jc w:val="center"/>
              <w:rPr>
                <w:b/>
                <w:bCs/>
                <w:sz w:val="22"/>
                <w:szCs w:val="22"/>
              </w:rPr>
            </w:pPr>
            <w:r w:rsidRPr="00F54C45">
              <w:rPr>
                <w:b/>
                <w:bCs/>
                <w:sz w:val="22"/>
                <w:szCs w:val="22"/>
              </w:rPr>
              <w:t>Chair:</w:t>
            </w:r>
          </w:p>
          <w:p w14:paraId="42E9F0F8" w14:textId="27BE2FBB" w:rsidR="00EF32A3" w:rsidRPr="00F54C45" w:rsidRDefault="00EF32A3" w:rsidP="00EF32A3">
            <w:pPr>
              <w:spacing w:after="0" w:line="240" w:lineRule="auto"/>
              <w:jc w:val="center"/>
              <w:rPr>
                <w:sz w:val="22"/>
                <w:szCs w:val="22"/>
              </w:rPr>
            </w:pPr>
            <w:r w:rsidRPr="00F54C45">
              <w:rPr>
                <w:sz w:val="22"/>
                <w:szCs w:val="22"/>
              </w:rPr>
              <w:t>Staff</w:t>
            </w:r>
          </w:p>
        </w:tc>
        <w:tc>
          <w:tcPr>
            <w:tcW w:w="2125" w:type="dxa"/>
            <w:vMerge w:val="restart"/>
            <w:shd w:val="clear" w:color="auto" w:fill="D9D9D9" w:themeFill="background1" w:themeFillShade="D9"/>
            <w:vAlign w:val="center"/>
          </w:tcPr>
          <w:p w14:paraId="23CE4000" w14:textId="3817E81F" w:rsidR="00EF32A3" w:rsidRPr="00F54C45" w:rsidRDefault="00EF32A3" w:rsidP="00EF32A3">
            <w:pPr>
              <w:spacing w:after="0" w:line="240" w:lineRule="auto"/>
              <w:jc w:val="center"/>
              <w:rPr>
                <w:sz w:val="22"/>
                <w:szCs w:val="22"/>
              </w:rPr>
            </w:pPr>
            <w:r w:rsidRPr="00F54C45">
              <w:rPr>
                <w:sz w:val="22"/>
                <w:szCs w:val="22"/>
              </w:rPr>
              <w:t>Indicator</w:t>
            </w:r>
          </w:p>
        </w:tc>
        <w:tc>
          <w:tcPr>
            <w:tcW w:w="2132" w:type="dxa"/>
            <w:gridSpan w:val="3"/>
            <w:shd w:val="clear" w:color="auto" w:fill="D9D9D9" w:themeFill="background1" w:themeFillShade="D9"/>
            <w:vAlign w:val="center"/>
          </w:tcPr>
          <w:p w14:paraId="3A79F4AD" w14:textId="4EFA68A8" w:rsidR="00EF32A3" w:rsidRPr="00F54C45" w:rsidRDefault="00EF32A3" w:rsidP="00EF32A3">
            <w:pPr>
              <w:spacing w:after="0" w:line="240" w:lineRule="auto"/>
              <w:jc w:val="center"/>
              <w:rPr>
                <w:sz w:val="22"/>
                <w:szCs w:val="22"/>
              </w:rPr>
            </w:pPr>
            <w:r w:rsidRPr="00F54C45">
              <w:rPr>
                <w:sz w:val="22"/>
                <w:szCs w:val="22"/>
              </w:rPr>
              <w:t>Implementation</w:t>
            </w:r>
          </w:p>
        </w:tc>
        <w:tc>
          <w:tcPr>
            <w:tcW w:w="2833" w:type="dxa"/>
            <w:vMerge w:val="restart"/>
            <w:shd w:val="clear" w:color="auto" w:fill="D9D9D9" w:themeFill="background1" w:themeFillShade="D9"/>
            <w:vAlign w:val="center"/>
          </w:tcPr>
          <w:p w14:paraId="73AC5EEC" w14:textId="164612B0" w:rsidR="00EF32A3" w:rsidRPr="00F54C45" w:rsidRDefault="00EF32A3" w:rsidP="00EF32A3">
            <w:pPr>
              <w:spacing w:after="0" w:line="240" w:lineRule="auto"/>
              <w:jc w:val="center"/>
              <w:rPr>
                <w:sz w:val="22"/>
                <w:szCs w:val="22"/>
              </w:rPr>
            </w:pPr>
            <w:r w:rsidRPr="00F54C45">
              <w:rPr>
                <w:sz w:val="22"/>
                <w:szCs w:val="22"/>
              </w:rPr>
              <w:t>Targets</w:t>
            </w:r>
          </w:p>
        </w:tc>
      </w:tr>
      <w:tr w:rsidR="009B4ED6" w:rsidRPr="00F54C45" w14:paraId="7D068721" w14:textId="77777777" w:rsidTr="00027396">
        <w:trPr>
          <w:cantSplit/>
        </w:trPr>
        <w:tc>
          <w:tcPr>
            <w:tcW w:w="2121" w:type="dxa"/>
            <w:vMerge/>
            <w:vAlign w:val="center"/>
          </w:tcPr>
          <w:p w14:paraId="5B19504D" w14:textId="77777777" w:rsidR="009B4ED6" w:rsidRPr="00F54C45" w:rsidRDefault="009B4ED6" w:rsidP="00027396">
            <w:pPr>
              <w:spacing w:after="0" w:line="240" w:lineRule="auto"/>
              <w:jc w:val="center"/>
              <w:rPr>
                <w:sz w:val="22"/>
                <w:szCs w:val="22"/>
              </w:rPr>
            </w:pPr>
          </w:p>
        </w:tc>
        <w:tc>
          <w:tcPr>
            <w:tcW w:w="3230" w:type="dxa"/>
            <w:vMerge/>
            <w:vAlign w:val="center"/>
          </w:tcPr>
          <w:p w14:paraId="752A8112" w14:textId="77777777" w:rsidR="009B4ED6" w:rsidRPr="00F54C45" w:rsidRDefault="009B4ED6" w:rsidP="00027396">
            <w:pPr>
              <w:spacing w:after="0" w:line="240" w:lineRule="auto"/>
              <w:jc w:val="center"/>
              <w:rPr>
                <w:sz w:val="22"/>
                <w:szCs w:val="22"/>
              </w:rPr>
            </w:pPr>
          </w:p>
        </w:tc>
        <w:tc>
          <w:tcPr>
            <w:tcW w:w="1984" w:type="dxa"/>
            <w:vMerge/>
            <w:vAlign w:val="center"/>
          </w:tcPr>
          <w:p w14:paraId="7AA68D57" w14:textId="77777777" w:rsidR="009B4ED6" w:rsidRPr="00F54C45" w:rsidRDefault="009B4ED6" w:rsidP="00027396">
            <w:pPr>
              <w:spacing w:after="0" w:line="240" w:lineRule="auto"/>
              <w:jc w:val="center"/>
              <w:rPr>
                <w:sz w:val="22"/>
                <w:szCs w:val="22"/>
              </w:rPr>
            </w:pPr>
          </w:p>
        </w:tc>
        <w:tc>
          <w:tcPr>
            <w:tcW w:w="2125" w:type="dxa"/>
            <w:vMerge/>
            <w:vAlign w:val="center"/>
          </w:tcPr>
          <w:p w14:paraId="628941E8" w14:textId="77777777" w:rsidR="009B4ED6" w:rsidRPr="00F54C45" w:rsidRDefault="009B4ED6" w:rsidP="00027396">
            <w:pPr>
              <w:spacing w:after="0" w:line="240" w:lineRule="auto"/>
              <w:jc w:val="center"/>
              <w:rPr>
                <w:sz w:val="22"/>
                <w:szCs w:val="22"/>
              </w:rPr>
            </w:pPr>
          </w:p>
        </w:tc>
        <w:tc>
          <w:tcPr>
            <w:tcW w:w="709" w:type="dxa"/>
            <w:shd w:val="clear" w:color="auto" w:fill="D9D9D9" w:themeFill="background1" w:themeFillShade="D9"/>
            <w:vAlign w:val="center"/>
          </w:tcPr>
          <w:p w14:paraId="46B2527F" w14:textId="77777777" w:rsidR="009B4ED6" w:rsidRPr="00F54C45" w:rsidRDefault="009B4ED6" w:rsidP="00027396">
            <w:pPr>
              <w:spacing w:after="0" w:line="240" w:lineRule="auto"/>
              <w:jc w:val="center"/>
              <w:rPr>
                <w:sz w:val="22"/>
                <w:szCs w:val="22"/>
              </w:rPr>
            </w:pPr>
            <w:r w:rsidRPr="00F54C45">
              <w:rPr>
                <w:sz w:val="22"/>
                <w:szCs w:val="22"/>
              </w:rPr>
              <w:t>2022</w:t>
            </w:r>
          </w:p>
        </w:tc>
        <w:tc>
          <w:tcPr>
            <w:tcW w:w="709" w:type="dxa"/>
            <w:shd w:val="clear" w:color="auto" w:fill="D9D9D9" w:themeFill="background1" w:themeFillShade="D9"/>
            <w:vAlign w:val="center"/>
          </w:tcPr>
          <w:p w14:paraId="4213BD96" w14:textId="77777777" w:rsidR="009B4ED6" w:rsidRPr="00F54C45" w:rsidRDefault="009B4ED6" w:rsidP="00027396">
            <w:pPr>
              <w:spacing w:after="0" w:line="240" w:lineRule="auto"/>
              <w:jc w:val="center"/>
              <w:rPr>
                <w:sz w:val="22"/>
                <w:szCs w:val="22"/>
              </w:rPr>
            </w:pPr>
            <w:r w:rsidRPr="00F54C45">
              <w:rPr>
                <w:sz w:val="22"/>
                <w:szCs w:val="22"/>
              </w:rPr>
              <w:t>2023</w:t>
            </w:r>
          </w:p>
        </w:tc>
        <w:tc>
          <w:tcPr>
            <w:tcW w:w="714" w:type="dxa"/>
            <w:shd w:val="clear" w:color="auto" w:fill="D9D9D9" w:themeFill="background1" w:themeFillShade="D9"/>
            <w:vAlign w:val="center"/>
          </w:tcPr>
          <w:p w14:paraId="0A5CE91B" w14:textId="77777777" w:rsidR="009B4ED6" w:rsidRPr="00F54C45" w:rsidRDefault="009B4ED6" w:rsidP="00027396">
            <w:pPr>
              <w:spacing w:after="0" w:line="240" w:lineRule="auto"/>
              <w:jc w:val="center"/>
              <w:rPr>
                <w:sz w:val="22"/>
                <w:szCs w:val="22"/>
              </w:rPr>
            </w:pPr>
            <w:r w:rsidRPr="00F54C45">
              <w:rPr>
                <w:sz w:val="22"/>
                <w:szCs w:val="22"/>
              </w:rPr>
              <w:t>2024</w:t>
            </w:r>
          </w:p>
        </w:tc>
        <w:tc>
          <w:tcPr>
            <w:tcW w:w="2833" w:type="dxa"/>
            <w:vMerge/>
            <w:vAlign w:val="center"/>
          </w:tcPr>
          <w:p w14:paraId="29675A78" w14:textId="77777777" w:rsidR="009B4ED6" w:rsidRPr="00F54C45" w:rsidRDefault="009B4ED6" w:rsidP="00027396">
            <w:pPr>
              <w:spacing w:after="0" w:line="240" w:lineRule="auto"/>
              <w:jc w:val="center"/>
              <w:rPr>
                <w:sz w:val="22"/>
                <w:szCs w:val="22"/>
              </w:rPr>
            </w:pPr>
          </w:p>
        </w:tc>
      </w:tr>
      <w:tr w:rsidR="00DE0BF3" w:rsidRPr="00F54C45" w14:paraId="287FA3BE" w14:textId="77777777" w:rsidTr="00BB7EB6">
        <w:trPr>
          <w:cantSplit/>
        </w:trPr>
        <w:tc>
          <w:tcPr>
            <w:tcW w:w="2121" w:type="dxa"/>
            <w:vMerge w:val="restart"/>
          </w:tcPr>
          <w:p w14:paraId="1A95EF7D" w14:textId="4BE0FAA2" w:rsidR="00DE0BF3" w:rsidRPr="00F54C45" w:rsidRDefault="00EF32A3" w:rsidP="00BB7EB6">
            <w:pPr>
              <w:spacing w:beforeLines="60" w:before="144" w:afterLines="60" w:after="144" w:line="240" w:lineRule="auto"/>
              <w:jc w:val="left"/>
              <w:rPr>
                <w:sz w:val="22"/>
                <w:szCs w:val="22"/>
              </w:rPr>
            </w:pPr>
            <w:r w:rsidRPr="00F54C45">
              <w:rPr>
                <w:sz w:val="22"/>
                <w:szCs w:val="22"/>
              </w:rPr>
              <w:lastRenderedPageBreak/>
              <w:t>Promote an inclusive environment, prevent discrimination, and combat harassment and violence</w:t>
            </w:r>
          </w:p>
        </w:tc>
        <w:tc>
          <w:tcPr>
            <w:tcW w:w="3230" w:type="dxa"/>
          </w:tcPr>
          <w:p w14:paraId="051142DD" w14:textId="20A0C237" w:rsidR="00DE0BF3" w:rsidRPr="00F54C45" w:rsidRDefault="00EF32A3" w:rsidP="004E4A9B">
            <w:pPr>
              <w:spacing w:beforeLines="60" w:before="144" w:afterLines="60" w:after="144" w:line="240" w:lineRule="auto"/>
              <w:jc w:val="left"/>
              <w:rPr>
                <w:bCs/>
                <w:sz w:val="22"/>
                <w:szCs w:val="22"/>
              </w:rPr>
            </w:pPr>
            <w:r w:rsidRPr="00F54C45">
              <w:rPr>
                <w:sz w:val="22"/>
                <w:szCs w:val="22"/>
              </w:rPr>
              <w:t>16. Development of a Code of Good Conduct for the Prevention and Combating of Harassment at Work</w:t>
            </w:r>
          </w:p>
        </w:tc>
        <w:tc>
          <w:tcPr>
            <w:tcW w:w="1984" w:type="dxa"/>
          </w:tcPr>
          <w:p w14:paraId="023ED176" w14:textId="05A7E4D0" w:rsidR="00DE0BF3" w:rsidRPr="00F54C45" w:rsidRDefault="00DE0BF3" w:rsidP="004E4A9B">
            <w:pPr>
              <w:spacing w:beforeLines="60" w:before="144" w:afterLines="60" w:after="144" w:line="240" w:lineRule="auto"/>
              <w:jc w:val="left"/>
              <w:rPr>
                <w:bCs/>
                <w:sz w:val="22"/>
                <w:szCs w:val="22"/>
              </w:rPr>
            </w:pPr>
            <w:r w:rsidRPr="00F54C45">
              <w:rPr>
                <w:b/>
                <w:bCs/>
                <w:sz w:val="22"/>
                <w:szCs w:val="22"/>
              </w:rPr>
              <w:t>GDI</w:t>
            </w:r>
            <w:r w:rsidRPr="00F54C45">
              <w:rPr>
                <w:sz w:val="22"/>
                <w:szCs w:val="22"/>
              </w:rPr>
              <w:t>; DRH; GJ</w:t>
            </w:r>
          </w:p>
        </w:tc>
        <w:tc>
          <w:tcPr>
            <w:tcW w:w="2125" w:type="dxa"/>
          </w:tcPr>
          <w:p w14:paraId="3EF63FAF" w14:textId="1689A37D" w:rsidR="00DE0BF3" w:rsidRPr="00F54C45" w:rsidRDefault="00866AAD" w:rsidP="004E4A9B">
            <w:pPr>
              <w:spacing w:beforeLines="60" w:before="144" w:afterLines="60" w:after="144" w:line="240" w:lineRule="auto"/>
              <w:jc w:val="left"/>
              <w:rPr>
                <w:b/>
                <w:sz w:val="22"/>
                <w:szCs w:val="22"/>
                <w:lang w:val="pt-PT"/>
              </w:rPr>
            </w:pPr>
            <w:r w:rsidRPr="00F54C45">
              <w:rPr>
                <w:sz w:val="22"/>
                <w:szCs w:val="22"/>
                <w:lang w:val="pt-PT"/>
              </w:rPr>
              <w:t>Code of Conduct Guide</w:t>
            </w:r>
          </w:p>
        </w:tc>
        <w:tc>
          <w:tcPr>
            <w:tcW w:w="709" w:type="dxa"/>
          </w:tcPr>
          <w:p w14:paraId="07F5EFAD" w14:textId="77777777" w:rsidR="00DE0BF3" w:rsidRPr="00F54C45" w:rsidRDefault="00DE0BF3" w:rsidP="00BB7EB6">
            <w:pPr>
              <w:spacing w:beforeLines="60" w:before="144" w:afterLines="60" w:after="144" w:line="240" w:lineRule="auto"/>
              <w:jc w:val="center"/>
              <w:rPr>
                <w:sz w:val="22"/>
                <w:szCs w:val="22"/>
                <w:lang w:val="pt-PT"/>
              </w:rPr>
            </w:pPr>
          </w:p>
        </w:tc>
        <w:tc>
          <w:tcPr>
            <w:tcW w:w="709" w:type="dxa"/>
          </w:tcPr>
          <w:p w14:paraId="00F874D3" w14:textId="4DD20A37" w:rsidR="00DE0BF3" w:rsidRPr="00F54C45" w:rsidRDefault="00DE0BF3" w:rsidP="00BB7EB6">
            <w:pPr>
              <w:spacing w:beforeLines="60" w:before="144" w:afterLines="60" w:after="144" w:line="240" w:lineRule="auto"/>
              <w:jc w:val="center"/>
              <w:rPr>
                <w:sz w:val="22"/>
                <w:szCs w:val="22"/>
              </w:rPr>
            </w:pPr>
            <w:r w:rsidRPr="00F54C45">
              <w:rPr>
                <w:sz w:val="22"/>
                <w:szCs w:val="22"/>
              </w:rPr>
              <w:t>x</w:t>
            </w:r>
          </w:p>
        </w:tc>
        <w:tc>
          <w:tcPr>
            <w:tcW w:w="714" w:type="dxa"/>
          </w:tcPr>
          <w:p w14:paraId="56A6863D" w14:textId="77777777" w:rsidR="00DE0BF3" w:rsidRPr="00F54C45" w:rsidRDefault="00DE0BF3" w:rsidP="00BB7EB6">
            <w:pPr>
              <w:spacing w:beforeLines="60" w:before="144" w:afterLines="60" w:after="144" w:line="240" w:lineRule="auto"/>
              <w:jc w:val="center"/>
              <w:rPr>
                <w:sz w:val="22"/>
                <w:szCs w:val="22"/>
              </w:rPr>
            </w:pPr>
          </w:p>
        </w:tc>
        <w:tc>
          <w:tcPr>
            <w:tcW w:w="2833" w:type="dxa"/>
          </w:tcPr>
          <w:p w14:paraId="4D78A5DB" w14:textId="6193F12E" w:rsidR="00DE0BF3" w:rsidRPr="00F54C45" w:rsidRDefault="00866AAD" w:rsidP="004E4A9B">
            <w:pPr>
              <w:spacing w:beforeLines="60" w:before="144" w:afterLines="60" w:after="144" w:line="240" w:lineRule="auto"/>
              <w:jc w:val="left"/>
              <w:rPr>
                <w:bCs/>
                <w:sz w:val="22"/>
                <w:szCs w:val="22"/>
              </w:rPr>
            </w:pPr>
            <w:r w:rsidRPr="00F54C45">
              <w:rPr>
                <w:sz w:val="22"/>
                <w:szCs w:val="22"/>
              </w:rPr>
              <w:t>Code of Conduct available on the GDI website by the end of 2023</w:t>
            </w:r>
          </w:p>
        </w:tc>
      </w:tr>
      <w:tr w:rsidR="00DE0BF3" w:rsidRPr="00F54C45" w14:paraId="57850ED8" w14:textId="77777777" w:rsidTr="00BB7EB6">
        <w:trPr>
          <w:cantSplit/>
        </w:trPr>
        <w:tc>
          <w:tcPr>
            <w:tcW w:w="2121" w:type="dxa"/>
            <w:vMerge/>
          </w:tcPr>
          <w:p w14:paraId="1C99D2D6" w14:textId="77777777" w:rsidR="00DE0BF3" w:rsidRPr="00F54C45" w:rsidRDefault="00DE0BF3" w:rsidP="004E4A9B">
            <w:pPr>
              <w:spacing w:beforeLines="60" w:before="144" w:afterLines="60" w:after="144" w:line="240" w:lineRule="auto"/>
              <w:jc w:val="left"/>
              <w:rPr>
                <w:sz w:val="22"/>
                <w:szCs w:val="22"/>
              </w:rPr>
            </w:pPr>
          </w:p>
        </w:tc>
        <w:tc>
          <w:tcPr>
            <w:tcW w:w="3230" w:type="dxa"/>
          </w:tcPr>
          <w:p w14:paraId="543A0F5E" w14:textId="6D412DD7" w:rsidR="00DE0BF3" w:rsidRPr="00F54C45" w:rsidRDefault="00DE0BF3" w:rsidP="004E4A9B">
            <w:pPr>
              <w:spacing w:beforeLines="60" w:before="144" w:afterLines="60" w:after="144" w:line="240" w:lineRule="auto"/>
              <w:jc w:val="left"/>
              <w:rPr>
                <w:bCs/>
                <w:sz w:val="22"/>
                <w:szCs w:val="22"/>
              </w:rPr>
            </w:pPr>
            <w:r w:rsidRPr="00F54C45">
              <w:rPr>
                <w:sz w:val="22"/>
                <w:szCs w:val="22"/>
              </w:rPr>
              <w:t xml:space="preserve">17. </w:t>
            </w:r>
            <w:r w:rsidR="00EF32A3" w:rsidRPr="00F54C45">
              <w:rPr>
                <w:sz w:val="22"/>
                <w:szCs w:val="22"/>
              </w:rPr>
              <w:t>Disclosure of the whistleblowing procedures according to the legislation in force.</w:t>
            </w:r>
          </w:p>
        </w:tc>
        <w:tc>
          <w:tcPr>
            <w:tcW w:w="1984" w:type="dxa"/>
          </w:tcPr>
          <w:p w14:paraId="526C68C2" w14:textId="5E130EED" w:rsidR="00DE0BF3" w:rsidRPr="00F54C45" w:rsidRDefault="00DE0BF3" w:rsidP="004E4A9B">
            <w:pPr>
              <w:spacing w:beforeLines="60" w:before="144" w:afterLines="60" w:after="144" w:line="240" w:lineRule="auto"/>
              <w:jc w:val="left"/>
              <w:rPr>
                <w:sz w:val="22"/>
                <w:szCs w:val="22"/>
              </w:rPr>
            </w:pPr>
            <w:r w:rsidRPr="00F54C45">
              <w:rPr>
                <w:b/>
                <w:sz w:val="22"/>
                <w:szCs w:val="22"/>
              </w:rPr>
              <w:t>GDI;</w:t>
            </w:r>
            <w:r w:rsidRPr="00F54C45">
              <w:rPr>
                <w:sz w:val="22"/>
                <w:szCs w:val="22"/>
              </w:rPr>
              <w:t xml:space="preserve"> GCRP</w:t>
            </w:r>
          </w:p>
        </w:tc>
        <w:tc>
          <w:tcPr>
            <w:tcW w:w="2125" w:type="dxa"/>
          </w:tcPr>
          <w:p w14:paraId="23FBABA0" w14:textId="7C1C0296" w:rsidR="00DE0BF3" w:rsidRPr="00F54C45" w:rsidRDefault="00866AAD" w:rsidP="004E4A9B">
            <w:pPr>
              <w:spacing w:beforeLines="60" w:before="144" w:afterLines="60" w:after="144" w:line="240" w:lineRule="auto"/>
              <w:jc w:val="left"/>
              <w:rPr>
                <w:b/>
                <w:sz w:val="22"/>
                <w:szCs w:val="22"/>
              </w:rPr>
            </w:pPr>
            <w:r w:rsidRPr="00F54C45">
              <w:rPr>
                <w:sz w:val="22"/>
                <w:szCs w:val="22"/>
              </w:rPr>
              <w:t xml:space="preserve">No. of </w:t>
            </w:r>
            <w:r w:rsidRPr="00F54C45">
              <w:rPr>
                <w:sz w:val="22"/>
                <w:szCs w:val="22"/>
              </w:rPr>
              <w:t>complaints</w:t>
            </w:r>
            <w:r w:rsidRPr="00F54C45">
              <w:rPr>
                <w:sz w:val="22"/>
                <w:szCs w:val="22"/>
              </w:rPr>
              <w:t xml:space="preserve"> by gender.</w:t>
            </w:r>
          </w:p>
        </w:tc>
        <w:tc>
          <w:tcPr>
            <w:tcW w:w="709" w:type="dxa"/>
          </w:tcPr>
          <w:p w14:paraId="08F3E81A" w14:textId="77777777" w:rsidR="00DE0BF3" w:rsidRPr="00F54C45" w:rsidRDefault="00DE0BF3" w:rsidP="00BB7EB6">
            <w:pPr>
              <w:spacing w:beforeLines="60" w:before="144" w:afterLines="60" w:after="144" w:line="240" w:lineRule="auto"/>
              <w:jc w:val="center"/>
              <w:rPr>
                <w:sz w:val="22"/>
                <w:szCs w:val="22"/>
              </w:rPr>
            </w:pPr>
          </w:p>
        </w:tc>
        <w:tc>
          <w:tcPr>
            <w:tcW w:w="709" w:type="dxa"/>
          </w:tcPr>
          <w:p w14:paraId="101BF228" w14:textId="4B1FD3EC" w:rsidR="00DE0BF3" w:rsidRPr="00F54C45" w:rsidRDefault="00DE0BF3" w:rsidP="00BB7EB6">
            <w:pPr>
              <w:spacing w:beforeLines="60" w:before="144" w:afterLines="60" w:after="144" w:line="240" w:lineRule="auto"/>
              <w:jc w:val="center"/>
              <w:rPr>
                <w:sz w:val="22"/>
                <w:szCs w:val="22"/>
              </w:rPr>
            </w:pPr>
          </w:p>
        </w:tc>
        <w:tc>
          <w:tcPr>
            <w:tcW w:w="714" w:type="dxa"/>
          </w:tcPr>
          <w:p w14:paraId="1B25B1AA" w14:textId="1F11F3C8" w:rsidR="00DE0BF3" w:rsidRPr="00F54C45" w:rsidRDefault="00DE0BF3" w:rsidP="00BB7EB6">
            <w:pPr>
              <w:spacing w:beforeLines="60" w:before="144" w:afterLines="60" w:after="144" w:line="240" w:lineRule="auto"/>
              <w:jc w:val="center"/>
              <w:rPr>
                <w:sz w:val="22"/>
                <w:szCs w:val="22"/>
              </w:rPr>
            </w:pPr>
            <w:r w:rsidRPr="00F54C45">
              <w:rPr>
                <w:sz w:val="22"/>
                <w:szCs w:val="22"/>
              </w:rPr>
              <w:t>x</w:t>
            </w:r>
          </w:p>
        </w:tc>
        <w:tc>
          <w:tcPr>
            <w:tcW w:w="2833" w:type="dxa"/>
          </w:tcPr>
          <w:p w14:paraId="101D8507" w14:textId="53A483DC" w:rsidR="00DE0BF3" w:rsidRPr="00F54C45" w:rsidRDefault="00866AAD" w:rsidP="004E4A9B">
            <w:pPr>
              <w:spacing w:beforeLines="60" w:before="144" w:afterLines="60" w:after="144" w:line="240" w:lineRule="auto"/>
              <w:jc w:val="left"/>
              <w:rPr>
                <w:bCs/>
                <w:sz w:val="22"/>
                <w:szCs w:val="22"/>
              </w:rPr>
            </w:pPr>
            <w:r w:rsidRPr="00F54C45">
              <w:rPr>
                <w:sz w:val="22"/>
                <w:szCs w:val="22"/>
              </w:rPr>
              <w:t>rate of complaints handled by the end of 2024</w:t>
            </w:r>
          </w:p>
        </w:tc>
      </w:tr>
      <w:tr w:rsidR="00DE0BF3" w:rsidRPr="00F54C45" w14:paraId="58525A46" w14:textId="77777777" w:rsidTr="00BB7EB6">
        <w:trPr>
          <w:cantSplit/>
        </w:trPr>
        <w:tc>
          <w:tcPr>
            <w:tcW w:w="2121" w:type="dxa"/>
            <w:vMerge/>
          </w:tcPr>
          <w:p w14:paraId="7B8FC288" w14:textId="34570B19" w:rsidR="00DE0BF3" w:rsidRPr="00F54C45" w:rsidRDefault="00DE0BF3" w:rsidP="004E4A9B">
            <w:pPr>
              <w:spacing w:beforeLines="60" w:before="144" w:afterLines="60" w:after="144" w:line="240" w:lineRule="auto"/>
              <w:jc w:val="left"/>
              <w:rPr>
                <w:sz w:val="22"/>
                <w:szCs w:val="22"/>
              </w:rPr>
            </w:pPr>
          </w:p>
        </w:tc>
        <w:tc>
          <w:tcPr>
            <w:tcW w:w="3230" w:type="dxa"/>
          </w:tcPr>
          <w:p w14:paraId="5526C73A" w14:textId="6B6B07A4" w:rsidR="00DE0BF3" w:rsidRPr="00F54C45" w:rsidRDefault="00DE0BF3" w:rsidP="004E4A9B">
            <w:pPr>
              <w:spacing w:beforeLines="60" w:before="144" w:afterLines="60" w:after="144" w:line="240" w:lineRule="auto"/>
              <w:jc w:val="left"/>
              <w:rPr>
                <w:bCs/>
                <w:sz w:val="22"/>
                <w:szCs w:val="22"/>
              </w:rPr>
            </w:pPr>
            <w:r w:rsidRPr="00F54C45">
              <w:rPr>
                <w:sz w:val="22"/>
                <w:szCs w:val="22"/>
              </w:rPr>
              <w:t>18</w:t>
            </w:r>
            <w:r w:rsidR="00EF32A3" w:rsidRPr="00F54C45">
              <w:rPr>
                <w:sz w:val="22"/>
                <w:szCs w:val="22"/>
              </w:rPr>
              <w:t>. Include</w:t>
            </w:r>
            <w:r w:rsidR="00EF32A3" w:rsidRPr="00F54C45">
              <w:rPr>
                <w:sz w:val="22"/>
                <w:szCs w:val="22"/>
              </w:rPr>
              <w:t xml:space="preserve"> </w:t>
            </w:r>
            <w:r w:rsidR="00EF32A3" w:rsidRPr="00F54C45">
              <w:rPr>
                <w:sz w:val="22"/>
                <w:szCs w:val="22"/>
              </w:rPr>
              <w:t xml:space="preserve">in the workers' training plan actions </w:t>
            </w:r>
            <w:r w:rsidR="00EF32A3" w:rsidRPr="00F54C45">
              <w:rPr>
                <w:sz w:val="22"/>
                <w:szCs w:val="22"/>
              </w:rPr>
              <w:t>focused on</w:t>
            </w:r>
            <w:r w:rsidR="00EF32A3" w:rsidRPr="00F54C45">
              <w:rPr>
                <w:sz w:val="22"/>
                <w:szCs w:val="22"/>
              </w:rPr>
              <w:t xml:space="preserve"> the theme of harassment and dating violence </w:t>
            </w:r>
          </w:p>
        </w:tc>
        <w:tc>
          <w:tcPr>
            <w:tcW w:w="1984" w:type="dxa"/>
          </w:tcPr>
          <w:p w14:paraId="4BB5E498" w14:textId="32D87347" w:rsidR="00DE0BF3" w:rsidRPr="00F54C45" w:rsidRDefault="00DE0BF3" w:rsidP="004E4A9B">
            <w:pPr>
              <w:spacing w:beforeLines="60" w:before="144" w:afterLines="60" w:after="144" w:line="240" w:lineRule="auto"/>
              <w:jc w:val="left"/>
              <w:rPr>
                <w:bCs/>
                <w:sz w:val="22"/>
                <w:szCs w:val="22"/>
              </w:rPr>
            </w:pPr>
            <w:r w:rsidRPr="00F54C45">
              <w:rPr>
                <w:b/>
                <w:bCs/>
                <w:sz w:val="22"/>
                <w:szCs w:val="22"/>
              </w:rPr>
              <w:t>GDI</w:t>
            </w:r>
            <w:r w:rsidRPr="00F54C45">
              <w:rPr>
                <w:sz w:val="22"/>
                <w:szCs w:val="22"/>
              </w:rPr>
              <w:t>; DRH</w:t>
            </w:r>
          </w:p>
        </w:tc>
        <w:tc>
          <w:tcPr>
            <w:tcW w:w="2125" w:type="dxa"/>
          </w:tcPr>
          <w:p w14:paraId="665DE4E5" w14:textId="77777777" w:rsidR="00866AAD" w:rsidRPr="00F54C45" w:rsidRDefault="00866AAD" w:rsidP="00866AAD">
            <w:pPr>
              <w:spacing w:beforeLines="60" w:before="144" w:afterLines="60" w:after="144" w:line="240" w:lineRule="auto"/>
              <w:jc w:val="left"/>
              <w:rPr>
                <w:sz w:val="22"/>
                <w:szCs w:val="22"/>
              </w:rPr>
            </w:pPr>
            <w:r w:rsidRPr="00F54C45">
              <w:rPr>
                <w:sz w:val="22"/>
                <w:szCs w:val="22"/>
              </w:rPr>
              <w:t xml:space="preserve">No. of training actions carried out; </w:t>
            </w:r>
          </w:p>
          <w:p w14:paraId="3B230720" w14:textId="77777777" w:rsidR="00866AAD" w:rsidRPr="00F54C45" w:rsidRDefault="00866AAD" w:rsidP="00866AAD">
            <w:pPr>
              <w:spacing w:beforeLines="60" w:before="144" w:afterLines="60" w:after="144" w:line="240" w:lineRule="auto"/>
              <w:jc w:val="left"/>
              <w:rPr>
                <w:sz w:val="22"/>
                <w:szCs w:val="22"/>
              </w:rPr>
            </w:pPr>
            <w:r w:rsidRPr="00F54C45">
              <w:rPr>
                <w:sz w:val="22"/>
                <w:szCs w:val="22"/>
              </w:rPr>
              <w:t xml:space="preserve">No. of participants; </w:t>
            </w:r>
          </w:p>
          <w:p w14:paraId="49D5199C" w14:textId="77777777" w:rsidR="00866AAD" w:rsidRPr="00F54C45" w:rsidRDefault="00866AAD" w:rsidP="00866AAD">
            <w:pPr>
              <w:spacing w:beforeLines="60" w:before="144" w:afterLines="60" w:after="144" w:line="240" w:lineRule="auto"/>
              <w:jc w:val="left"/>
              <w:rPr>
                <w:sz w:val="22"/>
                <w:szCs w:val="22"/>
              </w:rPr>
            </w:pPr>
            <w:r w:rsidRPr="00F54C45">
              <w:rPr>
                <w:sz w:val="22"/>
                <w:szCs w:val="22"/>
              </w:rPr>
              <w:t xml:space="preserve">No. of surveys filled out by participants; </w:t>
            </w:r>
          </w:p>
          <w:p w14:paraId="1C0F83F9" w14:textId="0F445E5A" w:rsidR="00DE0BF3" w:rsidRPr="00F54C45" w:rsidRDefault="00866AAD" w:rsidP="00866AAD">
            <w:pPr>
              <w:spacing w:beforeLines="60" w:before="144" w:afterLines="60" w:after="144" w:line="240" w:lineRule="auto"/>
              <w:jc w:val="left"/>
              <w:rPr>
                <w:b/>
                <w:sz w:val="22"/>
                <w:szCs w:val="22"/>
              </w:rPr>
            </w:pPr>
            <w:r w:rsidRPr="00F54C45">
              <w:rPr>
                <w:sz w:val="22"/>
                <w:szCs w:val="22"/>
                <w:lang w:val="pt-PT"/>
              </w:rPr>
              <w:t>Evaluation report.</w:t>
            </w:r>
          </w:p>
        </w:tc>
        <w:tc>
          <w:tcPr>
            <w:tcW w:w="709" w:type="dxa"/>
          </w:tcPr>
          <w:p w14:paraId="1A469863" w14:textId="2BBD5967" w:rsidR="00DE0BF3" w:rsidRPr="00F54C45" w:rsidRDefault="00DE0BF3" w:rsidP="001066B2">
            <w:pPr>
              <w:spacing w:beforeLines="60" w:before="144" w:afterLines="60" w:after="144" w:line="240" w:lineRule="auto"/>
              <w:jc w:val="center"/>
              <w:rPr>
                <w:sz w:val="22"/>
                <w:szCs w:val="22"/>
              </w:rPr>
            </w:pPr>
            <w:r w:rsidRPr="00F54C45">
              <w:rPr>
                <w:sz w:val="22"/>
                <w:szCs w:val="22"/>
              </w:rPr>
              <w:t>x</w:t>
            </w:r>
          </w:p>
        </w:tc>
        <w:tc>
          <w:tcPr>
            <w:tcW w:w="709" w:type="dxa"/>
          </w:tcPr>
          <w:p w14:paraId="2150D8E5" w14:textId="36E16F87" w:rsidR="00DE0BF3" w:rsidRPr="00F54C45" w:rsidRDefault="00DE0BF3" w:rsidP="001066B2">
            <w:pPr>
              <w:spacing w:beforeLines="60" w:before="144" w:afterLines="60" w:after="144" w:line="240" w:lineRule="auto"/>
              <w:jc w:val="center"/>
              <w:rPr>
                <w:sz w:val="22"/>
                <w:szCs w:val="22"/>
              </w:rPr>
            </w:pPr>
            <w:r w:rsidRPr="00F54C45">
              <w:rPr>
                <w:sz w:val="22"/>
                <w:szCs w:val="22"/>
              </w:rPr>
              <w:t>x</w:t>
            </w:r>
          </w:p>
        </w:tc>
        <w:tc>
          <w:tcPr>
            <w:tcW w:w="714" w:type="dxa"/>
          </w:tcPr>
          <w:p w14:paraId="359D953F" w14:textId="1A1BA035" w:rsidR="00DE0BF3" w:rsidRPr="00F54C45" w:rsidRDefault="00DE0BF3" w:rsidP="001066B2">
            <w:pPr>
              <w:spacing w:beforeLines="60" w:before="144" w:afterLines="60" w:after="144" w:line="240" w:lineRule="auto"/>
              <w:jc w:val="center"/>
              <w:rPr>
                <w:sz w:val="22"/>
                <w:szCs w:val="22"/>
              </w:rPr>
            </w:pPr>
            <w:r w:rsidRPr="00F54C45">
              <w:rPr>
                <w:sz w:val="22"/>
                <w:szCs w:val="22"/>
              </w:rPr>
              <w:t>x</w:t>
            </w:r>
          </w:p>
        </w:tc>
        <w:tc>
          <w:tcPr>
            <w:tcW w:w="2833" w:type="dxa"/>
          </w:tcPr>
          <w:p w14:paraId="7973535F" w14:textId="3FA84F7F" w:rsidR="00DE0BF3" w:rsidRPr="00F54C45" w:rsidRDefault="00866AAD" w:rsidP="004E4A9B">
            <w:pPr>
              <w:spacing w:beforeLines="60" w:before="144" w:afterLines="60" w:after="144" w:line="240" w:lineRule="auto"/>
              <w:jc w:val="left"/>
              <w:rPr>
                <w:bCs/>
                <w:sz w:val="22"/>
                <w:szCs w:val="22"/>
                <w:lang w:val="pt-PT"/>
              </w:rPr>
            </w:pPr>
            <w:r w:rsidRPr="00F54C45">
              <w:rPr>
                <w:sz w:val="22"/>
                <w:szCs w:val="22"/>
                <w:lang w:val="pt-PT"/>
              </w:rPr>
              <w:t xml:space="preserve">1 training </w:t>
            </w:r>
            <w:r w:rsidR="00F54C45" w:rsidRPr="00F54C45">
              <w:rPr>
                <w:sz w:val="22"/>
                <w:szCs w:val="22"/>
                <w:lang w:val="pt-PT"/>
              </w:rPr>
              <w:t>session</w:t>
            </w:r>
            <w:r w:rsidRPr="00F54C45">
              <w:rPr>
                <w:sz w:val="22"/>
                <w:szCs w:val="22"/>
                <w:lang w:val="pt-PT"/>
              </w:rPr>
              <w:t xml:space="preserve"> per year</w:t>
            </w:r>
          </w:p>
        </w:tc>
      </w:tr>
      <w:tr w:rsidR="00DE0BF3" w:rsidRPr="00F54C45" w14:paraId="231BCA17" w14:textId="77777777" w:rsidTr="00BB7EB6">
        <w:trPr>
          <w:cantSplit/>
        </w:trPr>
        <w:tc>
          <w:tcPr>
            <w:tcW w:w="2121" w:type="dxa"/>
            <w:vMerge/>
          </w:tcPr>
          <w:p w14:paraId="761515DB" w14:textId="5622496C" w:rsidR="00DE0BF3" w:rsidRPr="00F54C45" w:rsidRDefault="00DE0BF3" w:rsidP="004E4A9B">
            <w:pPr>
              <w:spacing w:beforeLines="60" w:before="144" w:afterLines="60" w:after="144" w:line="240" w:lineRule="auto"/>
              <w:jc w:val="left"/>
              <w:rPr>
                <w:sz w:val="22"/>
                <w:szCs w:val="22"/>
                <w:lang w:val="pt-PT"/>
              </w:rPr>
            </w:pPr>
          </w:p>
        </w:tc>
        <w:tc>
          <w:tcPr>
            <w:tcW w:w="3230" w:type="dxa"/>
          </w:tcPr>
          <w:p w14:paraId="21F46A72" w14:textId="48E18E18" w:rsidR="00DE0BF3" w:rsidRPr="00F54C45" w:rsidRDefault="00DE0BF3" w:rsidP="004E4A9B">
            <w:pPr>
              <w:spacing w:beforeLines="60" w:before="144" w:afterLines="60" w:after="144" w:line="240" w:lineRule="auto"/>
              <w:jc w:val="left"/>
              <w:rPr>
                <w:bCs/>
                <w:sz w:val="22"/>
                <w:szCs w:val="22"/>
              </w:rPr>
            </w:pPr>
            <w:r w:rsidRPr="00F54C45">
              <w:rPr>
                <w:sz w:val="22"/>
                <w:szCs w:val="22"/>
              </w:rPr>
              <w:t xml:space="preserve">19. </w:t>
            </w:r>
            <w:r w:rsidR="00866AAD" w:rsidRPr="00F54C45">
              <w:rPr>
                <w:sz w:val="22"/>
                <w:szCs w:val="22"/>
              </w:rPr>
              <w:t>Holding thematic events to raise awareness about dating harassment and violence</w:t>
            </w:r>
          </w:p>
        </w:tc>
        <w:tc>
          <w:tcPr>
            <w:tcW w:w="1984" w:type="dxa"/>
          </w:tcPr>
          <w:p w14:paraId="38A462DE" w14:textId="04799230" w:rsidR="00DE0BF3" w:rsidRPr="00F54C45" w:rsidRDefault="00DE0BF3" w:rsidP="004E4A9B">
            <w:pPr>
              <w:spacing w:beforeLines="60" w:before="144" w:afterLines="60" w:after="144" w:line="240" w:lineRule="auto"/>
              <w:jc w:val="left"/>
              <w:rPr>
                <w:bCs/>
                <w:sz w:val="22"/>
                <w:szCs w:val="22"/>
              </w:rPr>
            </w:pPr>
            <w:r w:rsidRPr="00F54C45">
              <w:rPr>
                <w:b/>
                <w:bCs/>
                <w:sz w:val="22"/>
                <w:szCs w:val="22"/>
              </w:rPr>
              <w:t>GDI</w:t>
            </w:r>
            <w:r w:rsidRPr="00F54C45">
              <w:rPr>
                <w:sz w:val="22"/>
                <w:szCs w:val="22"/>
              </w:rPr>
              <w:t>; GCRP</w:t>
            </w:r>
          </w:p>
        </w:tc>
        <w:tc>
          <w:tcPr>
            <w:tcW w:w="2125" w:type="dxa"/>
          </w:tcPr>
          <w:p w14:paraId="42858669" w14:textId="77777777" w:rsidR="00866AAD" w:rsidRPr="00F54C45" w:rsidRDefault="00866AAD" w:rsidP="00866AAD">
            <w:pPr>
              <w:spacing w:beforeLines="60" w:before="144" w:afterLines="60" w:after="144" w:line="240" w:lineRule="auto"/>
              <w:jc w:val="left"/>
              <w:rPr>
                <w:sz w:val="22"/>
                <w:szCs w:val="22"/>
              </w:rPr>
            </w:pPr>
            <w:r w:rsidRPr="00F54C45">
              <w:rPr>
                <w:sz w:val="22"/>
                <w:szCs w:val="22"/>
              </w:rPr>
              <w:t xml:space="preserve">No. of training actions carried out; </w:t>
            </w:r>
          </w:p>
          <w:p w14:paraId="17823A9F" w14:textId="77777777" w:rsidR="00866AAD" w:rsidRPr="00F54C45" w:rsidRDefault="00866AAD" w:rsidP="00866AAD">
            <w:pPr>
              <w:spacing w:beforeLines="60" w:before="144" w:afterLines="60" w:after="144" w:line="240" w:lineRule="auto"/>
              <w:jc w:val="left"/>
              <w:rPr>
                <w:sz w:val="22"/>
                <w:szCs w:val="22"/>
              </w:rPr>
            </w:pPr>
            <w:r w:rsidRPr="00F54C45">
              <w:rPr>
                <w:sz w:val="22"/>
                <w:szCs w:val="22"/>
              </w:rPr>
              <w:t xml:space="preserve">No. of participants; </w:t>
            </w:r>
          </w:p>
          <w:p w14:paraId="7A0F9C62" w14:textId="77777777" w:rsidR="00866AAD" w:rsidRPr="00F54C45" w:rsidRDefault="00866AAD" w:rsidP="00866AAD">
            <w:pPr>
              <w:spacing w:beforeLines="60" w:before="144" w:afterLines="60" w:after="144" w:line="240" w:lineRule="auto"/>
              <w:jc w:val="left"/>
              <w:rPr>
                <w:sz w:val="22"/>
                <w:szCs w:val="22"/>
              </w:rPr>
            </w:pPr>
            <w:r w:rsidRPr="00F54C45">
              <w:rPr>
                <w:sz w:val="22"/>
                <w:szCs w:val="22"/>
              </w:rPr>
              <w:t xml:space="preserve">No. of surveys filled out by participants; </w:t>
            </w:r>
          </w:p>
          <w:p w14:paraId="1571B51E" w14:textId="43EF4567" w:rsidR="00DE0BF3" w:rsidRPr="00F54C45" w:rsidRDefault="00866AAD" w:rsidP="00866AAD">
            <w:pPr>
              <w:spacing w:beforeLines="60" w:before="144" w:afterLines="60" w:after="144" w:line="240" w:lineRule="auto"/>
              <w:jc w:val="left"/>
              <w:rPr>
                <w:b/>
                <w:sz w:val="22"/>
                <w:szCs w:val="22"/>
              </w:rPr>
            </w:pPr>
            <w:r w:rsidRPr="00F54C45">
              <w:rPr>
                <w:sz w:val="22"/>
                <w:szCs w:val="22"/>
                <w:lang w:val="pt-PT"/>
              </w:rPr>
              <w:t>Evaluation report.</w:t>
            </w:r>
          </w:p>
        </w:tc>
        <w:tc>
          <w:tcPr>
            <w:tcW w:w="709" w:type="dxa"/>
          </w:tcPr>
          <w:p w14:paraId="463E0AE7" w14:textId="00BECAB3" w:rsidR="00DE0BF3" w:rsidRPr="00F54C45" w:rsidRDefault="00DE0BF3" w:rsidP="001066B2">
            <w:pPr>
              <w:spacing w:beforeLines="60" w:before="144" w:afterLines="60" w:after="144" w:line="240" w:lineRule="auto"/>
              <w:jc w:val="center"/>
              <w:rPr>
                <w:sz w:val="22"/>
                <w:szCs w:val="22"/>
              </w:rPr>
            </w:pPr>
            <w:r w:rsidRPr="00F54C45">
              <w:rPr>
                <w:sz w:val="22"/>
                <w:szCs w:val="22"/>
              </w:rPr>
              <w:t>x</w:t>
            </w:r>
          </w:p>
        </w:tc>
        <w:tc>
          <w:tcPr>
            <w:tcW w:w="709" w:type="dxa"/>
          </w:tcPr>
          <w:p w14:paraId="553512F0" w14:textId="3272D8EB" w:rsidR="00DE0BF3" w:rsidRPr="00F54C45" w:rsidRDefault="00DE0BF3" w:rsidP="001066B2">
            <w:pPr>
              <w:spacing w:beforeLines="60" w:before="144" w:afterLines="60" w:after="144" w:line="240" w:lineRule="auto"/>
              <w:jc w:val="center"/>
              <w:rPr>
                <w:sz w:val="22"/>
                <w:szCs w:val="22"/>
              </w:rPr>
            </w:pPr>
            <w:r w:rsidRPr="00F54C45">
              <w:rPr>
                <w:sz w:val="22"/>
                <w:szCs w:val="22"/>
              </w:rPr>
              <w:t>x</w:t>
            </w:r>
          </w:p>
        </w:tc>
        <w:tc>
          <w:tcPr>
            <w:tcW w:w="714" w:type="dxa"/>
          </w:tcPr>
          <w:p w14:paraId="702464EA" w14:textId="7AF8896F" w:rsidR="00DE0BF3" w:rsidRPr="00F54C45" w:rsidRDefault="00DE0BF3" w:rsidP="001066B2">
            <w:pPr>
              <w:spacing w:beforeLines="60" w:before="144" w:afterLines="60" w:after="144" w:line="240" w:lineRule="auto"/>
              <w:jc w:val="center"/>
              <w:rPr>
                <w:sz w:val="22"/>
                <w:szCs w:val="22"/>
              </w:rPr>
            </w:pPr>
            <w:r w:rsidRPr="00F54C45">
              <w:rPr>
                <w:sz w:val="22"/>
                <w:szCs w:val="22"/>
              </w:rPr>
              <w:t>x</w:t>
            </w:r>
          </w:p>
        </w:tc>
        <w:tc>
          <w:tcPr>
            <w:tcW w:w="2833" w:type="dxa"/>
          </w:tcPr>
          <w:p w14:paraId="3F405C25" w14:textId="64C210BA" w:rsidR="00DE0BF3" w:rsidRPr="00F54C45" w:rsidRDefault="00DE0BF3" w:rsidP="004E4A9B">
            <w:pPr>
              <w:spacing w:beforeLines="60" w:before="144" w:afterLines="60" w:after="144" w:line="240" w:lineRule="auto"/>
              <w:jc w:val="left"/>
              <w:rPr>
                <w:bCs/>
                <w:sz w:val="22"/>
                <w:szCs w:val="22"/>
              </w:rPr>
            </w:pPr>
            <w:r w:rsidRPr="00F54C45">
              <w:rPr>
                <w:sz w:val="22"/>
                <w:szCs w:val="22"/>
              </w:rPr>
              <w:t>1 eve</w:t>
            </w:r>
            <w:r w:rsidR="00866AAD" w:rsidRPr="00F54C45">
              <w:rPr>
                <w:sz w:val="22"/>
                <w:szCs w:val="22"/>
              </w:rPr>
              <w:t>nt per year</w:t>
            </w:r>
          </w:p>
        </w:tc>
      </w:tr>
    </w:tbl>
    <w:p w14:paraId="1C168BF2" w14:textId="0A58DF66" w:rsidR="001066B2" w:rsidRPr="00F54C45" w:rsidRDefault="001066B2">
      <w:pPr>
        <w:spacing w:after="160" w:line="259" w:lineRule="auto"/>
        <w:jc w:val="left"/>
      </w:pPr>
    </w:p>
    <w:tbl>
      <w:tblPr>
        <w:tblStyle w:val="Tabelacomgrade"/>
        <w:tblW w:w="14454" w:type="dxa"/>
        <w:tblLayout w:type="fixed"/>
        <w:tblLook w:val="04A0" w:firstRow="1" w:lastRow="0" w:firstColumn="1" w:lastColumn="0" w:noHBand="0" w:noVBand="1"/>
      </w:tblPr>
      <w:tblGrid>
        <w:gridCol w:w="2119"/>
        <w:gridCol w:w="3229"/>
        <w:gridCol w:w="1984"/>
        <w:gridCol w:w="2125"/>
        <w:gridCol w:w="709"/>
        <w:gridCol w:w="13"/>
        <w:gridCol w:w="696"/>
        <w:gridCol w:w="714"/>
        <w:gridCol w:w="2865"/>
      </w:tblGrid>
      <w:tr w:rsidR="00932466" w:rsidRPr="00F54C45" w14:paraId="13C27E25" w14:textId="77777777" w:rsidTr="00430035">
        <w:trPr>
          <w:cantSplit/>
        </w:trPr>
        <w:tc>
          <w:tcPr>
            <w:tcW w:w="14454" w:type="dxa"/>
            <w:gridSpan w:val="9"/>
            <w:shd w:val="clear" w:color="auto" w:fill="92D050"/>
            <w:vAlign w:val="center"/>
          </w:tcPr>
          <w:p w14:paraId="076A4AC1" w14:textId="16D8181C" w:rsidR="00932466" w:rsidRPr="00F54C45" w:rsidRDefault="00814D5B" w:rsidP="00027396">
            <w:pPr>
              <w:spacing w:after="0" w:line="240" w:lineRule="auto"/>
              <w:jc w:val="center"/>
              <w:rPr>
                <w:sz w:val="22"/>
                <w:szCs w:val="22"/>
              </w:rPr>
            </w:pPr>
            <w:r w:rsidRPr="00F54C45">
              <w:rPr>
                <w:sz w:val="22"/>
                <w:szCs w:val="22"/>
              </w:rPr>
              <w:t>Priority Area</w:t>
            </w:r>
            <w:r w:rsidR="00932466" w:rsidRPr="00F54C45">
              <w:rPr>
                <w:sz w:val="22"/>
                <w:szCs w:val="22"/>
              </w:rPr>
              <w:t xml:space="preserve"> 5 – Diversi</w:t>
            </w:r>
            <w:r w:rsidR="00866AAD" w:rsidRPr="00F54C45">
              <w:rPr>
                <w:sz w:val="22"/>
                <w:szCs w:val="22"/>
              </w:rPr>
              <w:t>ty and inclusion</w:t>
            </w:r>
          </w:p>
        </w:tc>
      </w:tr>
      <w:tr w:rsidR="00866AAD" w:rsidRPr="00F54C45" w14:paraId="6ADA9F17" w14:textId="77777777" w:rsidTr="00430035">
        <w:trPr>
          <w:cantSplit/>
        </w:trPr>
        <w:tc>
          <w:tcPr>
            <w:tcW w:w="2119" w:type="dxa"/>
            <w:vMerge w:val="restart"/>
            <w:shd w:val="clear" w:color="auto" w:fill="D9D9D9" w:themeFill="background1" w:themeFillShade="D9"/>
            <w:vAlign w:val="center"/>
          </w:tcPr>
          <w:p w14:paraId="276E157A" w14:textId="76F37423" w:rsidR="00866AAD" w:rsidRPr="00F54C45" w:rsidRDefault="00866AAD" w:rsidP="00866AAD">
            <w:pPr>
              <w:spacing w:after="0" w:line="240" w:lineRule="auto"/>
              <w:jc w:val="center"/>
              <w:rPr>
                <w:sz w:val="22"/>
                <w:szCs w:val="22"/>
              </w:rPr>
            </w:pPr>
            <w:r w:rsidRPr="00F54C45">
              <w:rPr>
                <w:sz w:val="22"/>
                <w:szCs w:val="22"/>
              </w:rPr>
              <w:t>Goals</w:t>
            </w:r>
          </w:p>
        </w:tc>
        <w:tc>
          <w:tcPr>
            <w:tcW w:w="3229" w:type="dxa"/>
            <w:vMerge w:val="restart"/>
            <w:shd w:val="clear" w:color="auto" w:fill="D9D9D9" w:themeFill="background1" w:themeFillShade="D9"/>
            <w:vAlign w:val="center"/>
          </w:tcPr>
          <w:p w14:paraId="453AC076" w14:textId="5133C11F" w:rsidR="00866AAD" w:rsidRPr="00F54C45" w:rsidRDefault="00866AAD" w:rsidP="00866AAD">
            <w:pPr>
              <w:spacing w:after="0" w:line="240" w:lineRule="auto"/>
              <w:jc w:val="center"/>
              <w:rPr>
                <w:sz w:val="22"/>
                <w:szCs w:val="22"/>
              </w:rPr>
            </w:pPr>
            <w:r w:rsidRPr="00F54C45">
              <w:rPr>
                <w:sz w:val="22"/>
                <w:szCs w:val="22"/>
              </w:rPr>
              <w:t>Actions</w:t>
            </w:r>
          </w:p>
        </w:tc>
        <w:tc>
          <w:tcPr>
            <w:tcW w:w="1984" w:type="dxa"/>
            <w:vMerge w:val="restart"/>
            <w:shd w:val="clear" w:color="auto" w:fill="D9D9D9" w:themeFill="background1" w:themeFillShade="D9"/>
            <w:vAlign w:val="center"/>
          </w:tcPr>
          <w:p w14:paraId="7FEF5CE8" w14:textId="77777777" w:rsidR="00866AAD" w:rsidRPr="00F54C45" w:rsidRDefault="00866AAD" w:rsidP="00866AAD">
            <w:pPr>
              <w:spacing w:after="0" w:line="240" w:lineRule="auto"/>
              <w:jc w:val="center"/>
              <w:rPr>
                <w:b/>
                <w:bCs/>
                <w:sz w:val="22"/>
                <w:szCs w:val="22"/>
              </w:rPr>
            </w:pPr>
            <w:r w:rsidRPr="00F54C45">
              <w:rPr>
                <w:b/>
                <w:bCs/>
                <w:sz w:val="22"/>
                <w:szCs w:val="22"/>
              </w:rPr>
              <w:t>Chair:</w:t>
            </w:r>
          </w:p>
          <w:p w14:paraId="79F65238" w14:textId="1CCC2A0B" w:rsidR="00866AAD" w:rsidRPr="00F54C45" w:rsidRDefault="00866AAD" w:rsidP="00866AAD">
            <w:pPr>
              <w:spacing w:after="0" w:line="240" w:lineRule="auto"/>
              <w:jc w:val="center"/>
              <w:rPr>
                <w:sz w:val="22"/>
                <w:szCs w:val="22"/>
              </w:rPr>
            </w:pPr>
            <w:r w:rsidRPr="00F54C45">
              <w:rPr>
                <w:sz w:val="22"/>
                <w:szCs w:val="22"/>
              </w:rPr>
              <w:t>Staff</w:t>
            </w:r>
          </w:p>
        </w:tc>
        <w:tc>
          <w:tcPr>
            <w:tcW w:w="2125" w:type="dxa"/>
            <w:vMerge w:val="restart"/>
            <w:shd w:val="clear" w:color="auto" w:fill="D9D9D9" w:themeFill="background1" w:themeFillShade="D9"/>
            <w:vAlign w:val="center"/>
          </w:tcPr>
          <w:p w14:paraId="79BD2900" w14:textId="3ED17782" w:rsidR="00866AAD" w:rsidRPr="00F54C45" w:rsidRDefault="00866AAD" w:rsidP="00866AAD">
            <w:pPr>
              <w:spacing w:after="0" w:line="240" w:lineRule="auto"/>
              <w:jc w:val="center"/>
              <w:rPr>
                <w:sz w:val="22"/>
                <w:szCs w:val="22"/>
              </w:rPr>
            </w:pPr>
            <w:r w:rsidRPr="00F54C45">
              <w:rPr>
                <w:sz w:val="22"/>
                <w:szCs w:val="22"/>
              </w:rPr>
              <w:t>Indicator</w:t>
            </w:r>
          </w:p>
        </w:tc>
        <w:tc>
          <w:tcPr>
            <w:tcW w:w="2132" w:type="dxa"/>
            <w:gridSpan w:val="4"/>
            <w:shd w:val="clear" w:color="auto" w:fill="D9D9D9" w:themeFill="background1" w:themeFillShade="D9"/>
            <w:vAlign w:val="center"/>
          </w:tcPr>
          <w:p w14:paraId="68DACC2D" w14:textId="014DBE68" w:rsidR="00866AAD" w:rsidRPr="00F54C45" w:rsidRDefault="00866AAD" w:rsidP="00866AAD">
            <w:pPr>
              <w:spacing w:after="0" w:line="240" w:lineRule="auto"/>
              <w:jc w:val="center"/>
              <w:rPr>
                <w:sz w:val="22"/>
                <w:szCs w:val="22"/>
              </w:rPr>
            </w:pPr>
            <w:r w:rsidRPr="00F54C45">
              <w:rPr>
                <w:sz w:val="22"/>
                <w:szCs w:val="22"/>
              </w:rPr>
              <w:t>Implementation</w:t>
            </w:r>
          </w:p>
        </w:tc>
        <w:tc>
          <w:tcPr>
            <w:tcW w:w="2865" w:type="dxa"/>
            <w:vMerge w:val="restart"/>
            <w:shd w:val="clear" w:color="auto" w:fill="D9D9D9" w:themeFill="background1" w:themeFillShade="D9"/>
            <w:vAlign w:val="center"/>
          </w:tcPr>
          <w:p w14:paraId="2CD7B8D5" w14:textId="530239FA" w:rsidR="00866AAD" w:rsidRPr="00F54C45" w:rsidRDefault="00866AAD" w:rsidP="00866AAD">
            <w:pPr>
              <w:spacing w:after="0" w:line="240" w:lineRule="auto"/>
              <w:jc w:val="center"/>
              <w:rPr>
                <w:sz w:val="22"/>
                <w:szCs w:val="22"/>
              </w:rPr>
            </w:pPr>
            <w:r w:rsidRPr="00F54C45">
              <w:rPr>
                <w:sz w:val="22"/>
                <w:szCs w:val="22"/>
              </w:rPr>
              <w:t>Targets</w:t>
            </w:r>
          </w:p>
        </w:tc>
      </w:tr>
      <w:tr w:rsidR="00932466" w:rsidRPr="00F54C45" w14:paraId="056B67B9" w14:textId="77777777" w:rsidTr="00430035">
        <w:trPr>
          <w:cantSplit/>
        </w:trPr>
        <w:tc>
          <w:tcPr>
            <w:tcW w:w="2119" w:type="dxa"/>
            <w:vMerge/>
            <w:vAlign w:val="center"/>
          </w:tcPr>
          <w:p w14:paraId="60161BC8" w14:textId="77777777" w:rsidR="00932466" w:rsidRPr="00F54C45" w:rsidRDefault="00932466" w:rsidP="00027396">
            <w:pPr>
              <w:spacing w:after="0" w:line="240" w:lineRule="auto"/>
              <w:jc w:val="center"/>
              <w:rPr>
                <w:sz w:val="22"/>
                <w:szCs w:val="22"/>
              </w:rPr>
            </w:pPr>
          </w:p>
        </w:tc>
        <w:tc>
          <w:tcPr>
            <w:tcW w:w="3229" w:type="dxa"/>
            <w:vMerge/>
            <w:vAlign w:val="center"/>
          </w:tcPr>
          <w:p w14:paraId="4B34AD2F" w14:textId="77777777" w:rsidR="00932466" w:rsidRPr="00F54C45" w:rsidRDefault="00932466" w:rsidP="00027396">
            <w:pPr>
              <w:spacing w:after="0" w:line="240" w:lineRule="auto"/>
              <w:jc w:val="center"/>
              <w:rPr>
                <w:sz w:val="22"/>
                <w:szCs w:val="22"/>
              </w:rPr>
            </w:pPr>
          </w:p>
        </w:tc>
        <w:tc>
          <w:tcPr>
            <w:tcW w:w="1984" w:type="dxa"/>
            <w:vMerge/>
            <w:vAlign w:val="center"/>
          </w:tcPr>
          <w:p w14:paraId="3EE4C2A2" w14:textId="77777777" w:rsidR="00932466" w:rsidRPr="00F54C45" w:rsidRDefault="00932466" w:rsidP="00027396">
            <w:pPr>
              <w:spacing w:after="0" w:line="240" w:lineRule="auto"/>
              <w:jc w:val="center"/>
              <w:rPr>
                <w:sz w:val="22"/>
                <w:szCs w:val="22"/>
              </w:rPr>
            </w:pPr>
          </w:p>
        </w:tc>
        <w:tc>
          <w:tcPr>
            <w:tcW w:w="2125" w:type="dxa"/>
            <w:vMerge/>
            <w:vAlign w:val="center"/>
          </w:tcPr>
          <w:p w14:paraId="690BA388" w14:textId="77777777" w:rsidR="00932466" w:rsidRPr="00F54C45" w:rsidRDefault="00932466" w:rsidP="00027396">
            <w:pPr>
              <w:spacing w:after="0" w:line="240" w:lineRule="auto"/>
              <w:jc w:val="center"/>
              <w:rPr>
                <w:sz w:val="22"/>
                <w:szCs w:val="22"/>
              </w:rPr>
            </w:pPr>
          </w:p>
        </w:tc>
        <w:tc>
          <w:tcPr>
            <w:tcW w:w="709" w:type="dxa"/>
            <w:shd w:val="clear" w:color="auto" w:fill="D9D9D9" w:themeFill="background1" w:themeFillShade="D9"/>
            <w:vAlign w:val="center"/>
          </w:tcPr>
          <w:p w14:paraId="7E8D7AB5" w14:textId="77777777" w:rsidR="00932466" w:rsidRPr="00F54C45" w:rsidRDefault="00932466" w:rsidP="00027396">
            <w:pPr>
              <w:spacing w:after="0" w:line="240" w:lineRule="auto"/>
              <w:jc w:val="center"/>
              <w:rPr>
                <w:sz w:val="22"/>
                <w:szCs w:val="22"/>
              </w:rPr>
            </w:pPr>
            <w:r w:rsidRPr="00F54C45">
              <w:rPr>
                <w:sz w:val="22"/>
                <w:szCs w:val="22"/>
              </w:rPr>
              <w:t>2022</w:t>
            </w:r>
          </w:p>
        </w:tc>
        <w:tc>
          <w:tcPr>
            <w:tcW w:w="709" w:type="dxa"/>
            <w:gridSpan w:val="2"/>
            <w:shd w:val="clear" w:color="auto" w:fill="D9D9D9" w:themeFill="background1" w:themeFillShade="D9"/>
            <w:vAlign w:val="center"/>
          </w:tcPr>
          <w:p w14:paraId="14A97DF3" w14:textId="77777777" w:rsidR="00932466" w:rsidRPr="00F54C45" w:rsidRDefault="00932466" w:rsidP="00027396">
            <w:pPr>
              <w:spacing w:after="0" w:line="240" w:lineRule="auto"/>
              <w:jc w:val="center"/>
              <w:rPr>
                <w:sz w:val="22"/>
                <w:szCs w:val="22"/>
              </w:rPr>
            </w:pPr>
            <w:r w:rsidRPr="00F54C45">
              <w:rPr>
                <w:sz w:val="22"/>
                <w:szCs w:val="22"/>
              </w:rPr>
              <w:t>2023</w:t>
            </w:r>
          </w:p>
        </w:tc>
        <w:tc>
          <w:tcPr>
            <w:tcW w:w="714" w:type="dxa"/>
            <w:shd w:val="clear" w:color="auto" w:fill="D9D9D9" w:themeFill="background1" w:themeFillShade="D9"/>
            <w:vAlign w:val="center"/>
          </w:tcPr>
          <w:p w14:paraId="4551810F" w14:textId="77777777" w:rsidR="00932466" w:rsidRPr="00F54C45" w:rsidRDefault="00932466" w:rsidP="00027396">
            <w:pPr>
              <w:spacing w:after="0" w:line="240" w:lineRule="auto"/>
              <w:jc w:val="center"/>
              <w:rPr>
                <w:sz w:val="22"/>
                <w:szCs w:val="22"/>
              </w:rPr>
            </w:pPr>
            <w:r w:rsidRPr="00F54C45">
              <w:rPr>
                <w:sz w:val="22"/>
                <w:szCs w:val="22"/>
              </w:rPr>
              <w:t>2024</w:t>
            </w:r>
          </w:p>
        </w:tc>
        <w:tc>
          <w:tcPr>
            <w:tcW w:w="2865" w:type="dxa"/>
            <w:vMerge/>
            <w:vAlign w:val="center"/>
          </w:tcPr>
          <w:p w14:paraId="62D0F59D" w14:textId="77777777" w:rsidR="00932466" w:rsidRPr="00F54C45" w:rsidRDefault="00932466" w:rsidP="00027396">
            <w:pPr>
              <w:spacing w:after="0" w:line="240" w:lineRule="auto"/>
              <w:jc w:val="center"/>
              <w:rPr>
                <w:sz w:val="22"/>
                <w:szCs w:val="22"/>
              </w:rPr>
            </w:pPr>
          </w:p>
        </w:tc>
      </w:tr>
      <w:tr w:rsidR="0006200D" w:rsidRPr="00F54C45" w14:paraId="7BFD2B14" w14:textId="77777777" w:rsidTr="00430035">
        <w:trPr>
          <w:cantSplit/>
        </w:trPr>
        <w:tc>
          <w:tcPr>
            <w:tcW w:w="2119" w:type="dxa"/>
            <w:vMerge w:val="restart"/>
          </w:tcPr>
          <w:p w14:paraId="7285C6CF" w14:textId="0BF2265F" w:rsidR="0006200D" w:rsidRPr="00F54C45" w:rsidRDefault="0006200D" w:rsidP="0006200D">
            <w:pPr>
              <w:spacing w:beforeLines="60" w:before="144" w:afterLines="60" w:after="144" w:line="240" w:lineRule="auto"/>
              <w:jc w:val="left"/>
              <w:rPr>
                <w:sz w:val="22"/>
                <w:szCs w:val="22"/>
              </w:rPr>
            </w:pPr>
            <w:r w:rsidRPr="00F54C45">
              <w:rPr>
                <w:sz w:val="22"/>
                <w:szCs w:val="22"/>
              </w:rPr>
              <w:lastRenderedPageBreak/>
              <w:t>Promote diversity, inclusive environments and prevent discrimination</w:t>
            </w:r>
          </w:p>
        </w:tc>
        <w:tc>
          <w:tcPr>
            <w:tcW w:w="3229" w:type="dxa"/>
          </w:tcPr>
          <w:p w14:paraId="1128E5D8" w14:textId="36044851" w:rsidR="0006200D" w:rsidRPr="00F54C45" w:rsidRDefault="0006200D" w:rsidP="0006200D">
            <w:pPr>
              <w:spacing w:beforeLines="60" w:before="144" w:afterLines="60" w:after="144" w:line="240" w:lineRule="auto"/>
              <w:jc w:val="left"/>
              <w:rPr>
                <w:sz w:val="22"/>
                <w:szCs w:val="22"/>
              </w:rPr>
            </w:pPr>
            <w:r w:rsidRPr="00F54C45">
              <w:rPr>
                <w:sz w:val="22"/>
                <w:szCs w:val="22"/>
              </w:rPr>
              <w:t>20. Applying for the diversity seal</w:t>
            </w:r>
          </w:p>
        </w:tc>
        <w:tc>
          <w:tcPr>
            <w:tcW w:w="1984" w:type="dxa"/>
          </w:tcPr>
          <w:p w14:paraId="69063FA5" w14:textId="5A5D72EA" w:rsidR="0006200D" w:rsidRPr="00F54C45" w:rsidRDefault="0006200D" w:rsidP="0006200D">
            <w:pPr>
              <w:spacing w:beforeLines="60" w:before="144" w:afterLines="60" w:after="144" w:line="240" w:lineRule="auto"/>
              <w:jc w:val="left"/>
              <w:rPr>
                <w:b/>
                <w:bCs/>
                <w:sz w:val="22"/>
                <w:szCs w:val="22"/>
              </w:rPr>
            </w:pPr>
            <w:r w:rsidRPr="00F54C45">
              <w:rPr>
                <w:b/>
                <w:bCs/>
                <w:sz w:val="22"/>
                <w:szCs w:val="22"/>
              </w:rPr>
              <w:t>GDI</w:t>
            </w:r>
          </w:p>
        </w:tc>
        <w:tc>
          <w:tcPr>
            <w:tcW w:w="2125" w:type="dxa"/>
          </w:tcPr>
          <w:p w14:paraId="2FC49547" w14:textId="67FFC3E8" w:rsidR="0006200D" w:rsidRPr="00F54C45" w:rsidRDefault="0006200D" w:rsidP="0006200D">
            <w:pPr>
              <w:spacing w:beforeLines="60" w:before="144" w:afterLines="60" w:after="144" w:line="240" w:lineRule="auto"/>
              <w:jc w:val="left"/>
              <w:rPr>
                <w:sz w:val="22"/>
                <w:szCs w:val="22"/>
              </w:rPr>
            </w:pPr>
            <w:r w:rsidRPr="00F54C45">
              <w:rPr>
                <w:sz w:val="22"/>
                <w:szCs w:val="22"/>
              </w:rPr>
              <w:t>Application submission.</w:t>
            </w:r>
          </w:p>
        </w:tc>
        <w:tc>
          <w:tcPr>
            <w:tcW w:w="722" w:type="dxa"/>
            <w:gridSpan w:val="2"/>
          </w:tcPr>
          <w:p w14:paraId="239F93B2" w14:textId="1F4A35E6" w:rsidR="0006200D" w:rsidRPr="00F54C45" w:rsidRDefault="0006200D" w:rsidP="0006200D">
            <w:pPr>
              <w:spacing w:beforeLines="60" w:before="144" w:afterLines="60" w:after="144" w:line="240" w:lineRule="auto"/>
              <w:jc w:val="center"/>
              <w:rPr>
                <w:sz w:val="22"/>
                <w:szCs w:val="22"/>
              </w:rPr>
            </w:pPr>
          </w:p>
        </w:tc>
        <w:tc>
          <w:tcPr>
            <w:tcW w:w="696" w:type="dxa"/>
          </w:tcPr>
          <w:p w14:paraId="3BF1D168" w14:textId="017276F5" w:rsidR="0006200D" w:rsidRPr="00F54C45" w:rsidRDefault="0006200D" w:rsidP="0006200D">
            <w:pPr>
              <w:spacing w:beforeLines="60" w:before="144" w:afterLines="60" w:after="144" w:line="240" w:lineRule="auto"/>
              <w:jc w:val="center"/>
              <w:rPr>
                <w:sz w:val="22"/>
                <w:szCs w:val="22"/>
              </w:rPr>
            </w:pPr>
          </w:p>
        </w:tc>
        <w:tc>
          <w:tcPr>
            <w:tcW w:w="714" w:type="dxa"/>
          </w:tcPr>
          <w:p w14:paraId="46FB5008" w14:textId="5F14EE35" w:rsidR="0006200D" w:rsidRPr="00F54C45" w:rsidRDefault="0006200D" w:rsidP="0006200D">
            <w:pPr>
              <w:spacing w:beforeLines="60" w:before="144" w:afterLines="60" w:after="144" w:line="240" w:lineRule="auto"/>
              <w:jc w:val="center"/>
              <w:rPr>
                <w:sz w:val="22"/>
                <w:szCs w:val="22"/>
              </w:rPr>
            </w:pPr>
            <w:r w:rsidRPr="00F54C45">
              <w:rPr>
                <w:sz w:val="22"/>
                <w:szCs w:val="22"/>
              </w:rPr>
              <w:t>x</w:t>
            </w:r>
          </w:p>
        </w:tc>
        <w:tc>
          <w:tcPr>
            <w:tcW w:w="2865" w:type="dxa"/>
          </w:tcPr>
          <w:p w14:paraId="323A2729" w14:textId="25EACD1F" w:rsidR="0006200D" w:rsidRPr="00F54C45" w:rsidRDefault="007A1F94" w:rsidP="0006200D">
            <w:pPr>
              <w:spacing w:beforeLines="60" w:before="144" w:afterLines="60" w:after="144" w:line="240" w:lineRule="auto"/>
              <w:jc w:val="left"/>
              <w:rPr>
                <w:sz w:val="22"/>
                <w:szCs w:val="22"/>
              </w:rPr>
            </w:pPr>
            <w:r w:rsidRPr="00F54C45">
              <w:rPr>
                <w:sz w:val="22"/>
                <w:szCs w:val="22"/>
              </w:rPr>
              <w:t>Diversity Stamp by 2024</w:t>
            </w:r>
          </w:p>
        </w:tc>
      </w:tr>
      <w:tr w:rsidR="0006200D" w:rsidRPr="00F54C45" w14:paraId="07C863D8" w14:textId="77777777" w:rsidTr="00430035">
        <w:trPr>
          <w:cantSplit/>
        </w:trPr>
        <w:tc>
          <w:tcPr>
            <w:tcW w:w="2119" w:type="dxa"/>
            <w:vMerge/>
          </w:tcPr>
          <w:p w14:paraId="09AC8D67" w14:textId="77777777" w:rsidR="0006200D" w:rsidRPr="00F54C45" w:rsidRDefault="0006200D" w:rsidP="0006200D">
            <w:pPr>
              <w:spacing w:beforeLines="60" w:before="144" w:afterLines="60" w:after="144" w:line="240" w:lineRule="auto"/>
              <w:jc w:val="left"/>
              <w:rPr>
                <w:sz w:val="22"/>
                <w:szCs w:val="22"/>
              </w:rPr>
            </w:pPr>
          </w:p>
        </w:tc>
        <w:tc>
          <w:tcPr>
            <w:tcW w:w="3229" w:type="dxa"/>
          </w:tcPr>
          <w:p w14:paraId="3BB961F7" w14:textId="70713293" w:rsidR="0006200D" w:rsidRPr="00F54C45" w:rsidRDefault="0006200D" w:rsidP="0006200D">
            <w:pPr>
              <w:spacing w:beforeLines="60" w:before="144" w:afterLines="60" w:after="144" w:line="240" w:lineRule="auto"/>
              <w:jc w:val="left"/>
              <w:rPr>
                <w:sz w:val="22"/>
                <w:szCs w:val="22"/>
              </w:rPr>
            </w:pPr>
            <w:r w:rsidRPr="00F54C45">
              <w:rPr>
                <w:sz w:val="22"/>
                <w:szCs w:val="22"/>
              </w:rPr>
              <w:t>21. Creation of flyer and videos allusive to the topic of non-discrimination and inclusion</w:t>
            </w:r>
          </w:p>
        </w:tc>
        <w:tc>
          <w:tcPr>
            <w:tcW w:w="1984" w:type="dxa"/>
          </w:tcPr>
          <w:p w14:paraId="51F00763" w14:textId="46E9F9B4" w:rsidR="0006200D" w:rsidRPr="00F54C45" w:rsidRDefault="0006200D" w:rsidP="0006200D">
            <w:pPr>
              <w:spacing w:beforeLines="60" w:before="144" w:afterLines="60" w:after="144" w:line="240" w:lineRule="auto"/>
              <w:jc w:val="left"/>
              <w:rPr>
                <w:b/>
                <w:bCs/>
                <w:sz w:val="22"/>
                <w:szCs w:val="22"/>
              </w:rPr>
            </w:pPr>
            <w:r w:rsidRPr="00F54C45">
              <w:rPr>
                <w:b/>
                <w:bCs/>
                <w:sz w:val="22"/>
                <w:szCs w:val="22"/>
              </w:rPr>
              <w:t>GDI; GCRP</w:t>
            </w:r>
          </w:p>
        </w:tc>
        <w:tc>
          <w:tcPr>
            <w:tcW w:w="2125" w:type="dxa"/>
          </w:tcPr>
          <w:p w14:paraId="19DB4CB6" w14:textId="77777777" w:rsidR="0006200D" w:rsidRPr="00F54C45" w:rsidRDefault="0006200D" w:rsidP="0006200D">
            <w:pPr>
              <w:spacing w:beforeLines="60" w:before="144" w:afterLines="60" w:after="144" w:line="240" w:lineRule="auto"/>
              <w:jc w:val="left"/>
              <w:rPr>
                <w:sz w:val="22"/>
                <w:szCs w:val="22"/>
              </w:rPr>
            </w:pPr>
            <w:r w:rsidRPr="00F54C45">
              <w:rPr>
                <w:sz w:val="22"/>
                <w:szCs w:val="22"/>
              </w:rPr>
              <w:t>No. of flyers distributed and disseminated;</w:t>
            </w:r>
          </w:p>
          <w:p w14:paraId="005845D3" w14:textId="6922CC10" w:rsidR="0006200D" w:rsidRPr="00F54C45" w:rsidRDefault="0006200D" w:rsidP="0006200D">
            <w:pPr>
              <w:spacing w:beforeLines="60" w:before="144" w:afterLines="60" w:after="144" w:line="240" w:lineRule="auto"/>
              <w:jc w:val="left"/>
              <w:rPr>
                <w:b/>
                <w:sz w:val="22"/>
                <w:szCs w:val="22"/>
              </w:rPr>
            </w:pPr>
            <w:r w:rsidRPr="00F54C45">
              <w:rPr>
                <w:sz w:val="22"/>
                <w:szCs w:val="22"/>
              </w:rPr>
              <w:t>No. of videos</w:t>
            </w:r>
          </w:p>
        </w:tc>
        <w:tc>
          <w:tcPr>
            <w:tcW w:w="722" w:type="dxa"/>
            <w:gridSpan w:val="2"/>
          </w:tcPr>
          <w:p w14:paraId="557B4F7F" w14:textId="3558DF4B" w:rsidR="0006200D" w:rsidRPr="00F54C45" w:rsidRDefault="0006200D" w:rsidP="0006200D">
            <w:pPr>
              <w:spacing w:beforeLines="60" w:before="144" w:afterLines="60" w:after="144" w:line="240" w:lineRule="auto"/>
              <w:jc w:val="center"/>
              <w:rPr>
                <w:sz w:val="22"/>
                <w:szCs w:val="22"/>
              </w:rPr>
            </w:pPr>
            <w:r w:rsidRPr="00F54C45">
              <w:rPr>
                <w:sz w:val="22"/>
                <w:szCs w:val="22"/>
              </w:rPr>
              <w:t>x</w:t>
            </w:r>
          </w:p>
        </w:tc>
        <w:tc>
          <w:tcPr>
            <w:tcW w:w="696" w:type="dxa"/>
          </w:tcPr>
          <w:p w14:paraId="76A59C8B" w14:textId="2D7B235E" w:rsidR="0006200D" w:rsidRPr="00F54C45" w:rsidRDefault="0006200D" w:rsidP="0006200D">
            <w:pPr>
              <w:spacing w:beforeLines="60" w:before="144" w:afterLines="60" w:after="144" w:line="240" w:lineRule="auto"/>
              <w:jc w:val="center"/>
              <w:rPr>
                <w:sz w:val="22"/>
                <w:szCs w:val="22"/>
              </w:rPr>
            </w:pPr>
            <w:r w:rsidRPr="00F54C45">
              <w:rPr>
                <w:sz w:val="22"/>
                <w:szCs w:val="22"/>
              </w:rPr>
              <w:t>x</w:t>
            </w:r>
          </w:p>
        </w:tc>
        <w:tc>
          <w:tcPr>
            <w:tcW w:w="714" w:type="dxa"/>
          </w:tcPr>
          <w:p w14:paraId="4A736DD1" w14:textId="6808A3A7" w:rsidR="0006200D" w:rsidRPr="00F54C45" w:rsidRDefault="0006200D" w:rsidP="0006200D">
            <w:pPr>
              <w:spacing w:beforeLines="60" w:before="144" w:afterLines="60" w:after="144" w:line="240" w:lineRule="auto"/>
              <w:jc w:val="center"/>
              <w:rPr>
                <w:sz w:val="22"/>
                <w:szCs w:val="22"/>
              </w:rPr>
            </w:pPr>
            <w:r w:rsidRPr="00F54C45">
              <w:rPr>
                <w:sz w:val="22"/>
                <w:szCs w:val="22"/>
              </w:rPr>
              <w:t>x</w:t>
            </w:r>
          </w:p>
        </w:tc>
        <w:tc>
          <w:tcPr>
            <w:tcW w:w="2865" w:type="dxa"/>
          </w:tcPr>
          <w:p w14:paraId="634E83EF" w14:textId="6963FF9D" w:rsidR="0006200D" w:rsidRPr="00F54C45" w:rsidRDefault="007A1F94" w:rsidP="0006200D">
            <w:pPr>
              <w:spacing w:beforeLines="60" w:before="144" w:afterLines="60" w:after="144" w:line="240" w:lineRule="auto"/>
              <w:jc w:val="left"/>
              <w:rPr>
                <w:sz w:val="22"/>
                <w:szCs w:val="22"/>
              </w:rPr>
            </w:pPr>
            <w:r w:rsidRPr="00F54C45">
              <w:rPr>
                <w:sz w:val="22"/>
                <w:szCs w:val="22"/>
              </w:rPr>
              <w:t>One</w:t>
            </w:r>
            <w:r w:rsidR="0006200D" w:rsidRPr="00F54C45">
              <w:rPr>
                <w:sz w:val="22"/>
                <w:szCs w:val="22"/>
              </w:rPr>
              <w:t xml:space="preserve"> </w:t>
            </w:r>
            <w:r w:rsidR="0006200D" w:rsidRPr="00F54C45">
              <w:rPr>
                <w:i/>
                <w:iCs/>
                <w:sz w:val="22"/>
                <w:szCs w:val="22"/>
              </w:rPr>
              <w:t>flyer</w:t>
            </w:r>
            <w:r w:rsidR="0006200D" w:rsidRPr="00F54C45">
              <w:rPr>
                <w:sz w:val="22"/>
                <w:szCs w:val="22"/>
              </w:rPr>
              <w:t xml:space="preserve"> p</w:t>
            </w:r>
            <w:r w:rsidRPr="00F54C45">
              <w:rPr>
                <w:sz w:val="22"/>
                <w:szCs w:val="22"/>
              </w:rPr>
              <w:t>er year</w:t>
            </w:r>
            <w:r w:rsidR="0006200D" w:rsidRPr="00F54C45">
              <w:rPr>
                <w:sz w:val="22"/>
                <w:szCs w:val="22"/>
              </w:rPr>
              <w:t xml:space="preserve"> </w:t>
            </w:r>
          </w:p>
          <w:p w14:paraId="4948C55D" w14:textId="250CF2B4" w:rsidR="0006200D" w:rsidRPr="00F54C45" w:rsidRDefault="007A1F94" w:rsidP="0006200D">
            <w:pPr>
              <w:spacing w:beforeLines="60" w:before="144" w:afterLines="60" w:after="144" w:line="240" w:lineRule="auto"/>
              <w:jc w:val="left"/>
              <w:rPr>
                <w:sz w:val="22"/>
                <w:szCs w:val="22"/>
              </w:rPr>
            </w:pPr>
            <w:r w:rsidRPr="00F54C45">
              <w:rPr>
                <w:sz w:val="22"/>
                <w:szCs w:val="22"/>
              </w:rPr>
              <w:t>One video per year</w:t>
            </w:r>
          </w:p>
        </w:tc>
      </w:tr>
      <w:tr w:rsidR="0006200D" w:rsidRPr="00F54C45" w14:paraId="6782E298" w14:textId="77777777" w:rsidTr="00430035">
        <w:trPr>
          <w:cantSplit/>
        </w:trPr>
        <w:tc>
          <w:tcPr>
            <w:tcW w:w="2119" w:type="dxa"/>
            <w:vMerge/>
          </w:tcPr>
          <w:p w14:paraId="3E57C8B7" w14:textId="2883F8C8" w:rsidR="0006200D" w:rsidRPr="00F54C45" w:rsidRDefault="0006200D" w:rsidP="0006200D">
            <w:pPr>
              <w:spacing w:beforeLines="60" w:before="144" w:afterLines="60" w:after="144" w:line="240" w:lineRule="auto"/>
              <w:jc w:val="left"/>
              <w:rPr>
                <w:sz w:val="22"/>
                <w:szCs w:val="22"/>
              </w:rPr>
            </w:pPr>
          </w:p>
        </w:tc>
        <w:tc>
          <w:tcPr>
            <w:tcW w:w="3229" w:type="dxa"/>
          </w:tcPr>
          <w:p w14:paraId="48BBF2BD" w14:textId="4C28D91E" w:rsidR="0006200D" w:rsidRPr="00F54C45" w:rsidRDefault="0006200D" w:rsidP="0006200D">
            <w:pPr>
              <w:spacing w:beforeLines="60" w:before="144" w:afterLines="60" w:after="144" w:line="240" w:lineRule="auto"/>
              <w:jc w:val="left"/>
              <w:rPr>
                <w:sz w:val="22"/>
                <w:szCs w:val="22"/>
              </w:rPr>
            </w:pPr>
            <w:r w:rsidRPr="00F54C45">
              <w:rPr>
                <w:sz w:val="22"/>
                <w:szCs w:val="22"/>
              </w:rPr>
              <w:t>22. Identification of possible movement obstacles on campus for people with disabilities</w:t>
            </w:r>
          </w:p>
        </w:tc>
        <w:tc>
          <w:tcPr>
            <w:tcW w:w="1984" w:type="dxa"/>
          </w:tcPr>
          <w:p w14:paraId="6D5C29D4" w14:textId="4CAD7C74" w:rsidR="0006200D" w:rsidRPr="00F54C45" w:rsidRDefault="0006200D" w:rsidP="0006200D">
            <w:pPr>
              <w:spacing w:beforeLines="60" w:before="144" w:afterLines="60" w:after="144" w:line="240" w:lineRule="auto"/>
              <w:jc w:val="left"/>
              <w:rPr>
                <w:b/>
                <w:bCs/>
                <w:sz w:val="22"/>
                <w:szCs w:val="22"/>
              </w:rPr>
            </w:pPr>
            <w:r w:rsidRPr="00F54C45">
              <w:rPr>
                <w:b/>
                <w:bCs/>
                <w:sz w:val="22"/>
                <w:szCs w:val="22"/>
              </w:rPr>
              <w:t>GDI</w:t>
            </w:r>
          </w:p>
        </w:tc>
        <w:tc>
          <w:tcPr>
            <w:tcW w:w="2125" w:type="dxa"/>
          </w:tcPr>
          <w:p w14:paraId="03BD9CCF" w14:textId="737C8110" w:rsidR="0006200D" w:rsidRPr="00F54C45" w:rsidRDefault="0006200D" w:rsidP="0006200D">
            <w:pPr>
              <w:spacing w:beforeLines="60" w:before="144" w:afterLines="60" w:after="144" w:line="240" w:lineRule="auto"/>
              <w:jc w:val="left"/>
              <w:rPr>
                <w:sz w:val="22"/>
                <w:szCs w:val="22"/>
              </w:rPr>
            </w:pPr>
            <w:r w:rsidRPr="00F54C45">
              <w:rPr>
                <w:sz w:val="22"/>
                <w:szCs w:val="22"/>
              </w:rPr>
              <w:t xml:space="preserve">Report </w:t>
            </w:r>
          </w:p>
        </w:tc>
        <w:tc>
          <w:tcPr>
            <w:tcW w:w="722" w:type="dxa"/>
            <w:gridSpan w:val="2"/>
          </w:tcPr>
          <w:p w14:paraId="1C356F2B" w14:textId="52A97B55" w:rsidR="0006200D" w:rsidRPr="00F54C45" w:rsidRDefault="0006200D" w:rsidP="0006200D">
            <w:pPr>
              <w:spacing w:beforeLines="60" w:before="144" w:afterLines="60" w:after="144" w:line="240" w:lineRule="auto"/>
              <w:jc w:val="center"/>
              <w:rPr>
                <w:sz w:val="22"/>
                <w:szCs w:val="22"/>
              </w:rPr>
            </w:pPr>
          </w:p>
        </w:tc>
        <w:tc>
          <w:tcPr>
            <w:tcW w:w="696" w:type="dxa"/>
          </w:tcPr>
          <w:p w14:paraId="48F6806A" w14:textId="316033A1" w:rsidR="0006200D" w:rsidRPr="00F54C45" w:rsidRDefault="0006200D" w:rsidP="0006200D">
            <w:pPr>
              <w:spacing w:beforeLines="60" w:before="144" w:afterLines="60" w:after="144" w:line="240" w:lineRule="auto"/>
              <w:jc w:val="center"/>
              <w:rPr>
                <w:sz w:val="22"/>
                <w:szCs w:val="22"/>
              </w:rPr>
            </w:pPr>
          </w:p>
        </w:tc>
        <w:tc>
          <w:tcPr>
            <w:tcW w:w="714" w:type="dxa"/>
          </w:tcPr>
          <w:p w14:paraId="33A93A66" w14:textId="33AFA7EF" w:rsidR="0006200D" w:rsidRPr="00F54C45" w:rsidRDefault="0006200D" w:rsidP="0006200D">
            <w:pPr>
              <w:spacing w:beforeLines="60" w:before="144" w:afterLines="60" w:after="144" w:line="240" w:lineRule="auto"/>
              <w:jc w:val="center"/>
              <w:rPr>
                <w:sz w:val="22"/>
                <w:szCs w:val="22"/>
              </w:rPr>
            </w:pPr>
            <w:r w:rsidRPr="00F54C45">
              <w:rPr>
                <w:sz w:val="22"/>
                <w:szCs w:val="22"/>
              </w:rPr>
              <w:t>x</w:t>
            </w:r>
          </w:p>
        </w:tc>
        <w:tc>
          <w:tcPr>
            <w:tcW w:w="2865" w:type="dxa"/>
          </w:tcPr>
          <w:p w14:paraId="7E32375D" w14:textId="0E66B8EC" w:rsidR="0006200D" w:rsidRPr="00F54C45" w:rsidRDefault="007A1F94" w:rsidP="0006200D">
            <w:pPr>
              <w:spacing w:beforeLines="60" w:before="144" w:afterLines="60" w:after="144" w:line="240" w:lineRule="auto"/>
              <w:jc w:val="left"/>
              <w:rPr>
                <w:sz w:val="22"/>
                <w:szCs w:val="22"/>
              </w:rPr>
            </w:pPr>
            <w:r w:rsidRPr="00F54C45">
              <w:rPr>
                <w:sz w:val="22"/>
                <w:szCs w:val="22"/>
              </w:rPr>
              <w:t>1 report available on the IDG website by the end of 2024</w:t>
            </w:r>
          </w:p>
        </w:tc>
      </w:tr>
      <w:tr w:rsidR="0006200D" w:rsidRPr="00F54C45" w14:paraId="4641CF7F" w14:textId="77777777" w:rsidTr="00430035">
        <w:trPr>
          <w:cantSplit/>
        </w:trPr>
        <w:tc>
          <w:tcPr>
            <w:tcW w:w="2119" w:type="dxa"/>
            <w:vMerge/>
          </w:tcPr>
          <w:p w14:paraId="79322B9B" w14:textId="77777777" w:rsidR="0006200D" w:rsidRPr="00F54C45" w:rsidRDefault="0006200D" w:rsidP="0006200D">
            <w:pPr>
              <w:spacing w:beforeLines="60" w:before="144" w:afterLines="60" w:after="144" w:line="240" w:lineRule="auto"/>
              <w:jc w:val="left"/>
              <w:rPr>
                <w:sz w:val="22"/>
                <w:szCs w:val="22"/>
              </w:rPr>
            </w:pPr>
          </w:p>
        </w:tc>
        <w:tc>
          <w:tcPr>
            <w:tcW w:w="3229" w:type="dxa"/>
          </w:tcPr>
          <w:p w14:paraId="14BFD0E6" w14:textId="5E57A2A2" w:rsidR="0006200D" w:rsidRPr="00F54C45" w:rsidRDefault="0006200D" w:rsidP="0006200D">
            <w:pPr>
              <w:spacing w:beforeLines="60" w:before="144" w:afterLines="60" w:after="144" w:line="240" w:lineRule="auto"/>
              <w:jc w:val="left"/>
              <w:rPr>
                <w:sz w:val="22"/>
                <w:szCs w:val="22"/>
              </w:rPr>
            </w:pPr>
            <w:r w:rsidRPr="00F54C45">
              <w:rPr>
                <w:sz w:val="22"/>
                <w:szCs w:val="22"/>
              </w:rPr>
              <w:t>23.Organization of thematic events and other initiatives that promote diversity and inclusion, addressed to national and international students and mobile students</w:t>
            </w:r>
          </w:p>
        </w:tc>
        <w:tc>
          <w:tcPr>
            <w:tcW w:w="1984" w:type="dxa"/>
          </w:tcPr>
          <w:p w14:paraId="1DBDB723" w14:textId="191D460F" w:rsidR="0006200D" w:rsidRPr="00F54C45" w:rsidRDefault="0006200D" w:rsidP="0006200D">
            <w:pPr>
              <w:spacing w:beforeLines="60" w:before="144" w:afterLines="60" w:after="144" w:line="240" w:lineRule="auto"/>
              <w:jc w:val="left"/>
              <w:rPr>
                <w:b/>
                <w:bCs/>
                <w:sz w:val="22"/>
                <w:szCs w:val="22"/>
              </w:rPr>
            </w:pPr>
            <w:r w:rsidRPr="00F54C45">
              <w:rPr>
                <w:b/>
                <w:bCs/>
                <w:sz w:val="22"/>
                <w:szCs w:val="22"/>
              </w:rPr>
              <w:t>GDI; GRI; GCRP</w:t>
            </w:r>
          </w:p>
        </w:tc>
        <w:tc>
          <w:tcPr>
            <w:tcW w:w="2125" w:type="dxa"/>
          </w:tcPr>
          <w:p w14:paraId="28370803" w14:textId="77777777" w:rsidR="0006200D" w:rsidRPr="00F54C45" w:rsidRDefault="0006200D" w:rsidP="0006200D">
            <w:pPr>
              <w:spacing w:beforeLines="60" w:before="144" w:afterLines="60" w:after="144" w:line="240" w:lineRule="auto"/>
              <w:jc w:val="left"/>
              <w:rPr>
                <w:sz w:val="22"/>
                <w:szCs w:val="22"/>
              </w:rPr>
            </w:pPr>
            <w:r w:rsidRPr="00F54C45">
              <w:rPr>
                <w:sz w:val="22"/>
                <w:szCs w:val="22"/>
              </w:rPr>
              <w:t xml:space="preserve">No. of events held; </w:t>
            </w:r>
          </w:p>
          <w:p w14:paraId="623B22CB" w14:textId="77777777" w:rsidR="0006200D" w:rsidRPr="00F54C45" w:rsidRDefault="0006200D" w:rsidP="0006200D">
            <w:pPr>
              <w:spacing w:beforeLines="60" w:before="144" w:afterLines="60" w:after="144" w:line="240" w:lineRule="auto"/>
              <w:jc w:val="left"/>
              <w:rPr>
                <w:sz w:val="22"/>
                <w:szCs w:val="22"/>
              </w:rPr>
            </w:pPr>
            <w:r w:rsidRPr="00F54C45">
              <w:rPr>
                <w:sz w:val="22"/>
                <w:szCs w:val="22"/>
              </w:rPr>
              <w:t xml:space="preserve">No. of participants; </w:t>
            </w:r>
          </w:p>
          <w:p w14:paraId="11B2BF6F" w14:textId="77777777" w:rsidR="0006200D" w:rsidRPr="00F54C45" w:rsidRDefault="0006200D" w:rsidP="0006200D">
            <w:pPr>
              <w:spacing w:beforeLines="60" w:before="144" w:afterLines="60" w:after="144" w:line="240" w:lineRule="auto"/>
              <w:jc w:val="left"/>
              <w:rPr>
                <w:sz w:val="22"/>
                <w:szCs w:val="22"/>
              </w:rPr>
            </w:pPr>
            <w:r w:rsidRPr="00F54C45">
              <w:rPr>
                <w:sz w:val="22"/>
                <w:szCs w:val="22"/>
              </w:rPr>
              <w:t xml:space="preserve">No. of surveys filled out by participants; </w:t>
            </w:r>
          </w:p>
          <w:p w14:paraId="12277A4E" w14:textId="1166B834" w:rsidR="0006200D" w:rsidRPr="00F54C45" w:rsidRDefault="0006200D" w:rsidP="0006200D">
            <w:pPr>
              <w:spacing w:beforeLines="60" w:before="144" w:afterLines="60" w:after="144" w:line="240" w:lineRule="auto"/>
              <w:jc w:val="left"/>
              <w:rPr>
                <w:sz w:val="22"/>
                <w:szCs w:val="22"/>
                <w:lang w:val="pt-PT"/>
              </w:rPr>
            </w:pPr>
            <w:r w:rsidRPr="00F54C45">
              <w:rPr>
                <w:sz w:val="22"/>
                <w:szCs w:val="22"/>
                <w:lang w:val="pt-PT"/>
              </w:rPr>
              <w:t>No. of survey responses.</w:t>
            </w:r>
          </w:p>
        </w:tc>
        <w:tc>
          <w:tcPr>
            <w:tcW w:w="722" w:type="dxa"/>
            <w:gridSpan w:val="2"/>
          </w:tcPr>
          <w:p w14:paraId="0F8BCBD8" w14:textId="1A004EDE" w:rsidR="0006200D" w:rsidRPr="00F54C45" w:rsidRDefault="0006200D" w:rsidP="0006200D">
            <w:pPr>
              <w:spacing w:beforeLines="60" w:before="144" w:afterLines="60" w:after="144" w:line="240" w:lineRule="auto"/>
              <w:jc w:val="center"/>
              <w:rPr>
                <w:sz w:val="22"/>
                <w:szCs w:val="22"/>
              </w:rPr>
            </w:pPr>
            <w:r w:rsidRPr="00F54C45">
              <w:rPr>
                <w:sz w:val="22"/>
                <w:szCs w:val="22"/>
              </w:rPr>
              <w:t>x</w:t>
            </w:r>
          </w:p>
        </w:tc>
        <w:tc>
          <w:tcPr>
            <w:tcW w:w="696" w:type="dxa"/>
          </w:tcPr>
          <w:p w14:paraId="0117D837" w14:textId="18DE5F6F" w:rsidR="0006200D" w:rsidRPr="00F54C45" w:rsidRDefault="0006200D" w:rsidP="0006200D">
            <w:pPr>
              <w:spacing w:beforeLines="60" w:before="144" w:afterLines="60" w:after="144" w:line="240" w:lineRule="auto"/>
              <w:jc w:val="center"/>
              <w:rPr>
                <w:sz w:val="22"/>
                <w:szCs w:val="22"/>
              </w:rPr>
            </w:pPr>
            <w:r w:rsidRPr="00F54C45">
              <w:rPr>
                <w:sz w:val="22"/>
                <w:szCs w:val="22"/>
              </w:rPr>
              <w:t>x</w:t>
            </w:r>
          </w:p>
        </w:tc>
        <w:tc>
          <w:tcPr>
            <w:tcW w:w="714" w:type="dxa"/>
          </w:tcPr>
          <w:p w14:paraId="0ACE790B" w14:textId="677710BD" w:rsidR="0006200D" w:rsidRPr="00F54C45" w:rsidRDefault="0006200D" w:rsidP="0006200D">
            <w:pPr>
              <w:spacing w:beforeLines="60" w:before="144" w:afterLines="60" w:after="144" w:line="240" w:lineRule="auto"/>
              <w:jc w:val="center"/>
              <w:rPr>
                <w:sz w:val="22"/>
                <w:szCs w:val="22"/>
              </w:rPr>
            </w:pPr>
            <w:r w:rsidRPr="00F54C45">
              <w:rPr>
                <w:sz w:val="22"/>
                <w:szCs w:val="22"/>
              </w:rPr>
              <w:t>x</w:t>
            </w:r>
          </w:p>
        </w:tc>
        <w:tc>
          <w:tcPr>
            <w:tcW w:w="2865" w:type="dxa"/>
          </w:tcPr>
          <w:p w14:paraId="2E066447" w14:textId="0D626D0F" w:rsidR="0006200D" w:rsidRPr="00F54C45" w:rsidRDefault="007A1F94" w:rsidP="0006200D">
            <w:pPr>
              <w:spacing w:beforeLines="60" w:before="144" w:afterLines="60" w:after="144" w:line="240" w:lineRule="auto"/>
              <w:jc w:val="left"/>
              <w:rPr>
                <w:sz w:val="22"/>
                <w:szCs w:val="22"/>
              </w:rPr>
            </w:pPr>
            <w:r w:rsidRPr="00F54C45">
              <w:rPr>
                <w:sz w:val="22"/>
                <w:szCs w:val="22"/>
              </w:rPr>
              <w:t>1 thematic event per year</w:t>
            </w:r>
          </w:p>
        </w:tc>
      </w:tr>
      <w:tr w:rsidR="00324724" w:rsidRPr="00F54C45" w14:paraId="34BEA154" w14:textId="77777777" w:rsidTr="00430035">
        <w:trPr>
          <w:cantSplit/>
        </w:trPr>
        <w:tc>
          <w:tcPr>
            <w:tcW w:w="2119" w:type="dxa"/>
            <w:vMerge/>
          </w:tcPr>
          <w:p w14:paraId="6B773353" w14:textId="6902B91A" w:rsidR="00324724" w:rsidRPr="00F54C45" w:rsidRDefault="00324724" w:rsidP="004E4A9B">
            <w:pPr>
              <w:spacing w:beforeLines="60" w:before="144" w:afterLines="60" w:after="144" w:line="240" w:lineRule="auto"/>
              <w:jc w:val="left"/>
              <w:rPr>
                <w:sz w:val="22"/>
                <w:szCs w:val="22"/>
              </w:rPr>
            </w:pPr>
          </w:p>
        </w:tc>
        <w:tc>
          <w:tcPr>
            <w:tcW w:w="3229" w:type="dxa"/>
          </w:tcPr>
          <w:p w14:paraId="56F8F807" w14:textId="12C5FDC2" w:rsidR="00324724" w:rsidRPr="00F54C45" w:rsidRDefault="00324724" w:rsidP="004E4A9B">
            <w:pPr>
              <w:spacing w:beforeLines="60" w:before="144" w:afterLines="60" w:after="144" w:line="240" w:lineRule="auto"/>
              <w:jc w:val="left"/>
              <w:rPr>
                <w:sz w:val="22"/>
                <w:szCs w:val="22"/>
              </w:rPr>
            </w:pPr>
            <w:r w:rsidRPr="00F54C45">
              <w:rPr>
                <w:sz w:val="22"/>
                <w:szCs w:val="22"/>
              </w:rPr>
              <w:t xml:space="preserve">24. </w:t>
            </w:r>
            <w:r w:rsidR="0006200D" w:rsidRPr="00F54C45">
              <w:rPr>
                <w:sz w:val="22"/>
                <w:szCs w:val="22"/>
              </w:rPr>
              <w:t xml:space="preserve">Creation of </w:t>
            </w:r>
            <w:r w:rsidR="0006200D" w:rsidRPr="00F54C45">
              <w:rPr>
                <w:sz w:val="22"/>
                <w:szCs w:val="22"/>
              </w:rPr>
              <w:t>an online channel for</w:t>
            </w:r>
            <w:r w:rsidR="0006200D" w:rsidRPr="00F54C45">
              <w:rPr>
                <w:sz w:val="22"/>
                <w:szCs w:val="22"/>
              </w:rPr>
              <w:t xml:space="preserve"> </w:t>
            </w:r>
            <w:r w:rsidR="0006200D" w:rsidRPr="00F54C45">
              <w:rPr>
                <w:sz w:val="22"/>
                <w:szCs w:val="22"/>
              </w:rPr>
              <w:t xml:space="preserve"> collecting suggestions</w:t>
            </w:r>
            <w:r w:rsidR="0006200D" w:rsidRPr="00F54C45">
              <w:rPr>
                <w:sz w:val="22"/>
                <w:szCs w:val="22"/>
              </w:rPr>
              <w:t xml:space="preserve"> and identify</w:t>
            </w:r>
            <w:r w:rsidR="0006200D" w:rsidRPr="00F54C45">
              <w:rPr>
                <w:sz w:val="22"/>
                <w:szCs w:val="22"/>
              </w:rPr>
              <w:t>ing</w:t>
            </w:r>
            <w:r w:rsidR="0006200D" w:rsidRPr="00F54C45">
              <w:rPr>
                <w:sz w:val="22"/>
                <w:szCs w:val="22"/>
              </w:rPr>
              <w:t xml:space="preserve"> possible discriminatory problems in its various aspects</w:t>
            </w:r>
          </w:p>
        </w:tc>
        <w:tc>
          <w:tcPr>
            <w:tcW w:w="1984" w:type="dxa"/>
          </w:tcPr>
          <w:p w14:paraId="28500E91" w14:textId="131574DC" w:rsidR="00324724" w:rsidRPr="00F54C45" w:rsidRDefault="00324724" w:rsidP="004E4A9B">
            <w:pPr>
              <w:spacing w:beforeLines="60" w:before="144" w:afterLines="60" w:after="144" w:line="240" w:lineRule="auto"/>
              <w:jc w:val="left"/>
              <w:rPr>
                <w:sz w:val="22"/>
                <w:szCs w:val="22"/>
              </w:rPr>
            </w:pPr>
            <w:r w:rsidRPr="00F54C45">
              <w:rPr>
                <w:b/>
                <w:sz w:val="22"/>
                <w:szCs w:val="22"/>
              </w:rPr>
              <w:t>GDI</w:t>
            </w:r>
            <w:r w:rsidRPr="00F54C45">
              <w:rPr>
                <w:sz w:val="22"/>
                <w:szCs w:val="22"/>
              </w:rPr>
              <w:t>; GCRP</w:t>
            </w:r>
          </w:p>
        </w:tc>
        <w:tc>
          <w:tcPr>
            <w:tcW w:w="2125" w:type="dxa"/>
          </w:tcPr>
          <w:p w14:paraId="224BAB57" w14:textId="5ADCA307" w:rsidR="00324724" w:rsidRPr="00F54C45" w:rsidRDefault="0006200D" w:rsidP="004E4A9B">
            <w:pPr>
              <w:spacing w:beforeLines="60" w:before="144" w:afterLines="60" w:after="144" w:line="240" w:lineRule="auto"/>
              <w:jc w:val="left"/>
              <w:rPr>
                <w:sz w:val="22"/>
                <w:szCs w:val="22"/>
                <w:lang w:val="pt-PT"/>
              </w:rPr>
            </w:pPr>
            <w:r w:rsidRPr="00F54C45">
              <w:rPr>
                <w:sz w:val="22"/>
                <w:szCs w:val="22"/>
                <w:lang w:val="pt-PT"/>
              </w:rPr>
              <w:t>Online suggestion channel (website).</w:t>
            </w:r>
          </w:p>
        </w:tc>
        <w:tc>
          <w:tcPr>
            <w:tcW w:w="722" w:type="dxa"/>
            <w:gridSpan w:val="2"/>
          </w:tcPr>
          <w:p w14:paraId="4BF8FA34" w14:textId="24019B7C" w:rsidR="00324724" w:rsidRPr="00F54C45" w:rsidRDefault="00324724" w:rsidP="005A05C0">
            <w:pPr>
              <w:spacing w:beforeLines="60" w:before="144" w:afterLines="60" w:after="144" w:line="240" w:lineRule="auto"/>
              <w:jc w:val="center"/>
              <w:rPr>
                <w:sz w:val="22"/>
                <w:szCs w:val="22"/>
              </w:rPr>
            </w:pPr>
            <w:r w:rsidRPr="00F54C45">
              <w:rPr>
                <w:sz w:val="22"/>
                <w:szCs w:val="22"/>
              </w:rPr>
              <w:t>x</w:t>
            </w:r>
          </w:p>
        </w:tc>
        <w:tc>
          <w:tcPr>
            <w:tcW w:w="696" w:type="dxa"/>
          </w:tcPr>
          <w:p w14:paraId="29A36F50" w14:textId="77777777" w:rsidR="00324724" w:rsidRPr="00F54C45" w:rsidRDefault="00324724" w:rsidP="005A05C0">
            <w:pPr>
              <w:spacing w:beforeLines="60" w:before="144" w:afterLines="60" w:after="144" w:line="240" w:lineRule="auto"/>
              <w:jc w:val="center"/>
              <w:rPr>
                <w:sz w:val="22"/>
                <w:szCs w:val="22"/>
              </w:rPr>
            </w:pPr>
          </w:p>
        </w:tc>
        <w:tc>
          <w:tcPr>
            <w:tcW w:w="714" w:type="dxa"/>
          </w:tcPr>
          <w:p w14:paraId="7DF22268" w14:textId="77777777" w:rsidR="00324724" w:rsidRPr="00F54C45" w:rsidRDefault="00324724" w:rsidP="005A05C0">
            <w:pPr>
              <w:spacing w:beforeLines="60" w:before="144" w:afterLines="60" w:after="144" w:line="240" w:lineRule="auto"/>
              <w:jc w:val="center"/>
              <w:rPr>
                <w:sz w:val="22"/>
                <w:szCs w:val="22"/>
              </w:rPr>
            </w:pPr>
          </w:p>
        </w:tc>
        <w:tc>
          <w:tcPr>
            <w:tcW w:w="2865" w:type="dxa"/>
          </w:tcPr>
          <w:p w14:paraId="4D1EE186" w14:textId="3403D671" w:rsidR="00324724" w:rsidRPr="00F54C45" w:rsidRDefault="0006200D" w:rsidP="004E4A9B">
            <w:pPr>
              <w:spacing w:beforeLines="60" w:before="144" w:afterLines="60" w:after="144" w:line="240" w:lineRule="auto"/>
              <w:jc w:val="left"/>
              <w:rPr>
                <w:sz w:val="22"/>
                <w:szCs w:val="22"/>
              </w:rPr>
            </w:pPr>
            <w:r w:rsidRPr="00F54C45">
              <w:rPr>
                <w:sz w:val="22"/>
                <w:szCs w:val="22"/>
              </w:rPr>
              <w:t>1 online  channel by the end of 2022</w:t>
            </w:r>
          </w:p>
        </w:tc>
      </w:tr>
      <w:tr w:rsidR="00932466" w:rsidRPr="00F54C45" w14:paraId="3D736CDD" w14:textId="77777777" w:rsidTr="00430035">
        <w:trPr>
          <w:cantSplit/>
        </w:trPr>
        <w:tc>
          <w:tcPr>
            <w:tcW w:w="14454" w:type="dxa"/>
            <w:gridSpan w:val="9"/>
            <w:shd w:val="clear" w:color="auto" w:fill="92D050"/>
            <w:vAlign w:val="center"/>
          </w:tcPr>
          <w:p w14:paraId="0176965F" w14:textId="6CF26BDA" w:rsidR="00932466" w:rsidRPr="00F54C45" w:rsidRDefault="00814D5B" w:rsidP="00027396">
            <w:pPr>
              <w:spacing w:after="0" w:line="240" w:lineRule="auto"/>
              <w:jc w:val="center"/>
              <w:rPr>
                <w:sz w:val="22"/>
                <w:szCs w:val="22"/>
              </w:rPr>
            </w:pPr>
            <w:r w:rsidRPr="00F54C45">
              <w:rPr>
                <w:sz w:val="22"/>
                <w:szCs w:val="22"/>
              </w:rPr>
              <w:t>Priority Area</w:t>
            </w:r>
            <w:r w:rsidR="00932466" w:rsidRPr="00F54C45">
              <w:rPr>
                <w:sz w:val="22"/>
                <w:szCs w:val="22"/>
              </w:rPr>
              <w:t xml:space="preserve"> 6 – </w:t>
            </w:r>
            <w:r w:rsidR="007A1F94" w:rsidRPr="00F54C45">
              <w:rPr>
                <w:sz w:val="22"/>
                <w:szCs w:val="22"/>
              </w:rPr>
              <w:t>Balancing work life and personal and family life</w:t>
            </w:r>
          </w:p>
        </w:tc>
      </w:tr>
      <w:tr w:rsidR="007A1F94" w:rsidRPr="00F54C45" w14:paraId="660C20FF" w14:textId="77777777" w:rsidTr="00430035">
        <w:trPr>
          <w:cantSplit/>
        </w:trPr>
        <w:tc>
          <w:tcPr>
            <w:tcW w:w="2119" w:type="dxa"/>
            <w:vMerge w:val="restart"/>
            <w:shd w:val="clear" w:color="auto" w:fill="D9D9D9" w:themeFill="background1" w:themeFillShade="D9"/>
            <w:vAlign w:val="center"/>
          </w:tcPr>
          <w:p w14:paraId="10243687" w14:textId="3B7F1EA2" w:rsidR="007A1F94" w:rsidRPr="00F54C45" w:rsidRDefault="007A1F94" w:rsidP="007A1F94">
            <w:pPr>
              <w:spacing w:after="0" w:line="240" w:lineRule="auto"/>
              <w:jc w:val="center"/>
              <w:rPr>
                <w:sz w:val="22"/>
                <w:szCs w:val="22"/>
              </w:rPr>
            </w:pPr>
            <w:r w:rsidRPr="00F54C45">
              <w:rPr>
                <w:sz w:val="22"/>
                <w:szCs w:val="22"/>
              </w:rPr>
              <w:t>Goals</w:t>
            </w:r>
          </w:p>
        </w:tc>
        <w:tc>
          <w:tcPr>
            <w:tcW w:w="3229" w:type="dxa"/>
            <w:vMerge w:val="restart"/>
            <w:shd w:val="clear" w:color="auto" w:fill="D9D9D9" w:themeFill="background1" w:themeFillShade="D9"/>
            <w:vAlign w:val="center"/>
          </w:tcPr>
          <w:p w14:paraId="584C889F" w14:textId="6DCE3528" w:rsidR="007A1F94" w:rsidRPr="00F54C45" w:rsidRDefault="007A1F94" w:rsidP="007A1F94">
            <w:pPr>
              <w:spacing w:after="0" w:line="240" w:lineRule="auto"/>
              <w:jc w:val="center"/>
              <w:rPr>
                <w:sz w:val="22"/>
                <w:szCs w:val="22"/>
              </w:rPr>
            </w:pPr>
            <w:r w:rsidRPr="00F54C45">
              <w:rPr>
                <w:sz w:val="22"/>
                <w:szCs w:val="22"/>
              </w:rPr>
              <w:t>Actions</w:t>
            </w:r>
          </w:p>
        </w:tc>
        <w:tc>
          <w:tcPr>
            <w:tcW w:w="1984" w:type="dxa"/>
            <w:vMerge w:val="restart"/>
            <w:shd w:val="clear" w:color="auto" w:fill="D9D9D9" w:themeFill="background1" w:themeFillShade="D9"/>
            <w:vAlign w:val="center"/>
          </w:tcPr>
          <w:p w14:paraId="41EE5F7E" w14:textId="77777777" w:rsidR="007A1F94" w:rsidRPr="00F54C45" w:rsidRDefault="007A1F94" w:rsidP="007A1F94">
            <w:pPr>
              <w:spacing w:after="0" w:line="240" w:lineRule="auto"/>
              <w:jc w:val="center"/>
              <w:rPr>
                <w:b/>
                <w:bCs/>
                <w:sz w:val="22"/>
                <w:szCs w:val="22"/>
              </w:rPr>
            </w:pPr>
            <w:r w:rsidRPr="00F54C45">
              <w:rPr>
                <w:b/>
                <w:bCs/>
                <w:sz w:val="22"/>
                <w:szCs w:val="22"/>
              </w:rPr>
              <w:t>Chair:</w:t>
            </w:r>
          </w:p>
          <w:p w14:paraId="0B2222B7" w14:textId="70D23A0A" w:rsidR="007A1F94" w:rsidRPr="00F54C45" w:rsidRDefault="007A1F94" w:rsidP="007A1F94">
            <w:pPr>
              <w:spacing w:after="0" w:line="240" w:lineRule="auto"/>
              <w:jc w:val="center"/>
              <w:rPr>
                <w:sz w:val="22"/>
                <w:szCs w:val="22"/>
              </w:rPr>
            </w:pPr>
            <w:r w:rsidRPr="00F54C45">
              <w:rPr>
                <w:sz w:val="22"/>
                <w:szCs w:val="22"/>
              </w:rPr>
              <w:t>Staff</w:t>
            </w:r>
          </w:p>
        </w:tc>
        <w:tc>
          <w:tcPr>
            <w:tcW w:w="2125" w:type="dxa"/>
            <w:vMerge w:val="restart"/>
            <w:shd w:val="clear" w:color="auto" w:fill="D9D9D9" w:themeFill="background1" w:themeFillShade="D9"/>
            <w:vAlign w:val="center"/>
          </w:tcPr>
          <w:p w14:paraId="379A8FFC" w14:textId="247D63E4" w:rsidR="007A1F94" w:rsidRPr="00F54C45" w:rsidRDefault="007A1F94" w:rsidP="007A1F94">
            <w:pPr>
              <w:spacing w:after="0" w:line="240" w:lineRule="auto"/>
              <w:jc w:val="center"/>
              <w:rPr>
                <w:sz w:val="22"/>
                <w:szCs w:val="22"/>
              </w:rPr>
            </w:pPr>
            <w:r w:rsidRPr="00F54C45">
              <w:rPr>
                <w:sz w:val="22"/>
                <w:szCs w:val="22"/>
              </w:rPr>
              <w:t>Indicator</w:t>
            </w:r>
          </w:p>
        </w:tc>
        <w:tc>
          <w:tcPr>
            <w:tcW w:w="2132" w:type="dxa"/>
            <w:gridSpan w:val="4"/>
            <w:shd w:val="clear" w:color="auto" w:fill="D9D9D9" w:themeFill="background1" w:themeFillShade="D9"/>
            <w:vAlign w:val="center"/>
          </w:tcPr>
          <w:p w14:paraId="3F9297A7" w14:textId="073DB042" w:rsidR="007A1F94" w:rsidRPr="00F54C45" w:rsidRDefault="007A1F94" w:rsidP="007A1F94">
            <w:pPr>
              <w:spacing w:after="0" w:line="240" w:lineRule="auto"/>
              <w:jc w:val="center"/>
              <w:rPr>
                <w:sz w:val="22"/>
                <w:szCs w:val="22"/>
              </w:rPr>
            </w:pPr>
            <w:r w:rsidRPr="00F54C45">
              <w:rPr>
                <w:sz w:val="22"/>
                <w:szCs w:val="22"/>
              </w:rPr>
              <w:t>Implementation</w:t>
            </w:r>
          </w:p>
        </w:tc>
        <w:tc>
          <w:tcPr>
            <w:tcW w:w="2865" w:type="dxa"/>
            <w:vMerge w:val="restart"/>
            <w:shd w:val="clear" w:color="auto" w:fill="D9D9D9" w:themeFill="background1" w:themeFillShade="D9"/>
            <w:vAlign w:val="center"/>
          </w:tcPr>
          <w:p w14:paraId="75D0CB17" w14:textId="597DA365" w:rsidR="007A1F94" w:rsidRPr="00F54C45" w:rsidRDefault="007A1F94" w:rsidP="007A1F94">
            <w:pPr>
              <w:spacing w:after="0" w:line="240" w:lineRule="auto"/>
              <w:jc w:val="center"/>
              <w:rPr>
                <w:sz w:val="22"/>
                <w:szCs w:val="22"/>
              </w:rPr>
            </w:pPr>
            <w:r w:rsidRPr="00F54C45">
              <w:rPr>
                <w:sz w:val="22"/>
                <w:szCs w:val="22"/>
              </w:rPr>
              <w:t>Targets</w:t>
            </w:r>
          </w:p>
        </w:tc>
      </w:tr>
      <w:tr w:rsidR="00932466" w:rsidRPr="00F54C45" w14:paraId="2249E514" w14:textId="77777777" w:rsidTr="00430035">
        <w:trPr>
          <w:cantSplit/>
        </w:trPr>
        <w:tc>
          <w:tcPr>
            <w:tcW w:w="2119" w:type="dxa"/>
            <w:vMerge/>
            <w:vAlign w:val="center"/>
          </w:tcPr>
          <w:p w14:paraId="7A5AC959" w14:textId="77777777" w:rsidR="00932466" w:rsidRPr="00F54C45" w:rsidRDefault="00932466" w:rsidP="00027396">
            <w:pPr>
              <w:spacing w:after="0" w:line="240" w:lineRule="auto"/>
              <w:jc w:val="center"/>
              <w:rPr>
                <w:sz w:val="22"/>
                <w:szCs w:val="22"/>
              </w:rPr>
            </w:pPr>
          </w:p>
        </w:tc>
        <w:tc>
          <w:tcPr>
            <w:tcW w:w="3229" w:type="dxa"/>
            <w:vMerge/>
            <w:vAlign w:val="center"/>
          </w:tcPr>
          <w:p w14:paraId="07EB5F0F" w14:textId="77777777" w:rsidR="00932466" w:rsidRPr="00F54C45" w:rsidRDefault="00932466" w:rsidP="00027396">
            <w:pPr>
              <w:spacing w:after="0" w:line="240" w:lineRule="auto"/>
              <w:jc w:val="center"/>
              <w:rPr>
                <w:sz w:val="22"/>
                <w:szCs w:val="22"/>
              </w:rPr>
            </w:pPr>
          </w:p>
        </w:tc>
        <w:tc>
          <w:tcPr>
            <w:tcW w:w="1984" w:type="dxa"/>
            <w:vMerge/>
            <w:vAlign w:val="center"/>
          </w:tcPr>
          <w:p w14:paraId="6BAA8283" w14:textId="77777777" w:rsidR="00932466" w:rsidRPr="00F54C45" w:rsidRDefault="00932466" w:rsidP="00027396">
            <w:pPr>
              <w:spacing w:after="0" w:line="240" w:lineRule="auto"/>
              <w:jc w:val="center"/>
              <w:rPr>
                <w:sz w:val="22"/>
                <w:szCs w:val="22"/>
              </w:rPr>
            </w:pPr>
          </w:p>
        </w:tc>
        <w:tc>
          <w:tcPr>
            <w:tcW w:w="2125" w:type="dxa"/>
            <w:vMerge/>
            <w:vAlign w:val="center"/>
          </w:tcPr>
          <w:p w14:paraId="075DC10C" w14:textId="77777777" w:rsidR="00932466" w:rsidRPr="00F54C45" w:rsidRDefault="00932466" w:rsidP="00027396">
            <w:pPr>
              <w:spacing w:after="0" w:line="240" w:lineRule="auto"/>
              <w:jc w:val="center"/>
              <w:rPr>
                <w:sz w:val="22"/>
                <w:szCs w:val="22"/>
              </w:rPr>
            </w:pPr>
          </w:p>
        </w:tc>
        <w:tc>
          <w:tcPr>
            <w:tcW w:w="709" w:type="dxa"/>
            <w:shd w:val="clear" w:color="auto" w:fill="D9D9D9" w:themeFill="background1" w:themeFillShade="D9"/>
            <w:vAlign w:val="center"/>
          </w:tcPr>
          <w:p w14:paraId="32C39ABD" w14:textId="77777777" w:rsidR="00932466" w:rsidRPr="00F54C45" w:rsidRDefault="00932466" w:rsidP="00027396">
            <w:pPr>
              <w:spacing w:after="0" w:line="240" w:lineRule="auto"/>
              <w:jc w:val="center"/>
              <w:rPr>
                <w:sz w:val="22"/>
                <w:szCs w:val="22"/>
              </w:rPr>
            </w:pPr>
            <w:r w:rsidRPr="00F54C45">
              <w:rPr>
                <w:sz w:val="22"/>
                <w:szCs w:val="22"/>
              </w:rPr>
              <w:t>2022</w:t>
            </w:r>
          </w:p>
        </w:tc>
        <w:tc>
          <w:tcPr>
            <w:tcW w:w="709" w:type="dxa"/>
            <w:gridSpan w:val="2"/>
            <w:shd w:val="clear" w:color="auto" w:fill="D9D9D9" w:themeFill="background1" w:themeFillShade="D9"/>
            <w:vAlign w:val="center"/>
          </w:tcPr>
          <w:p w14:paraId="1514130A" w14:textId="77777777" w:rsidR="00932466" w:rsidRPr="00F54C45" w:rsidRDefault="00932466" w:rsidP="00027396">
            <w:pPr>
              <w:spacing w:after="0" w:line="240" w:lineRule="auto"/>
              <w:jc w:val="center"/>
              <w:rPr>
                <w:sz w:val="22"/>
                <w:szCs w:val="22"/>
              </w:rPr>
            </w:pPr>
            <w:r w:rsidRPr="00F54C45">
              <w:rPr>
                <w:sz w:val="22"/>
                <w:szCs w:val="22"/>
              </w:rPr>
              <w:t>2023</w:t>
            </w:r>
          </w:p>
        </w:tc>
        <w:tc>
          <w:tcPr>
            <w:tcW w:w="714" w:type="dxa"/>
            <w:shd w:val="clear" w:color="auto" w:fill="D9D9D9" w:themeFill="background1" w:themeFillShade="D9"/>
            <w:vAlign w:val="center"/>
          </w:tcPr>
          <w:p w14:paraId="3E2B19F6" w14:textId="77777777" w:rsidR="00932466" w:rsidRPr="00F54C45" w:rsidRDefault="00932466" w:rsidP="00027396">
            <w:pPr>
              <w:spacing w:after="0" w:line="240" w:lineRule="auto"/>
              <w:jc w:val="center"/>
              <w:rPr>
                <w:sz w:val="22"/>
                <w:szCs w:val="22"/>
              </w:rPr>
            </w:pPr>
            <w:r w:rsidRPr="00F54C45">
              <w:rPr>
                <w:sz w:val="22"/>
                <w:szCs w:val="22"/>
              </w:rPr>
              <w:t>2024</w:t>
            </w:r>
          </w:p>
        </w:tc>
        <w:tc>
          <w:tcPr>
            <w:tcW w:w="2865" w:type="dxa"/>
            <w:vMerge/>
            <w:vAlign w:val="center"/>
          </w:tcPr>
          <w:p w14:paraId="168FB61B" w14:textId="77777777" w:rsidR="00932466" w:rsidRPr="00F54C45" w:rsidRDefault="00932466" w:rsidP="00027396">
            <w:pPr>
              <w:spacing w:after="0" w:line="240" w:lineRule="auto"/>
              <w:jc w:val="center"/>
              <w:rPr>
                <w:sz w:val="22"/>
                <w:szCs w:val="22"/>
              </w:rPr>
            </w:pPr>
          </w:p>
        </w:tc>
      </w:tr>
      <w:tr w:rsidR="00997F42" w:rsidRPr="00F54C45" w14:paraId="3073E7F8" w14:textId="77777777" w:rsidTr="00430035">
        <w:trPr>
          <w:cantSplit/>
        </w:trPr>
        <w:tc>
          <w:tcPr>
            <w:tcW w:w="2119" w:type="dxa"/>
            <w:vMerge w:val="restart"/>
          </w:tcPr>
          <w:p w14:paraId="10112ECD" w14:textId="3DA88691" w:rsidR="00997F42" w:rsidRPr="00F54C45" w:rsidRDefault="007A1F94" w:rsidP="00997F42">
            <w:pPr>
              <w:spacing w:beforeLines="60" w:before="144" w:afterLines="60" w:after="144" w:line="240" w:lineRule="auto"/>
              <w:jc w:val="left"/>
              <w:rPr>
                <w:sz w:val="22"/>
                <w:szCs w:val="22"/>
              </w:rPr>
            </w:pPr>
            <w:r w:rsidRPr="00F54C45">
              <w:rPr>
                <w:sz w:val="22"/>
                <w:szCs w:val="22"/>
              </w:rPr>
              <w:lastRenderedPageBreak/>
              <w:t xml:space="preserve">Improve the reconciliation between professional, personal and family life of </w:t>
            </w:r>
            <w:r w:rsidRPr="00F54C45">
              <w:rPr>
                <w:sz w:val="22"/>
                <w:szCs w:val="22"/>
              </w:rPr>
              <w:t>staff</w:t>
            </w:r>
            <w:r w:rsidRPr="00F54C45">
              <w:rPr>
                <w:sz w:val="22"/>
                <w:szCs w:val="22"/>
              </w:rPr>
              <w:t xml:space="preserve"> (</w:t>
            </w:r>
            <w:r w:rsidRPr="00F54C45">
              <w:rPr>
                <w:sz w:val="22"/>
                <w:szCs w:val="22"/>
              </w:rPr>
              <w:t>faculty members and technical staff</w:t>
            </w:r>
            <w:r w:rsidRPr="00F54C45">
              <w:rPr>
                <w:sz w:val="22"/>
                <w:szCs w:val="22"/>
              </w:rPr>
              <w:t>)</w:t>
            </w:r>
          </w:p>
        </w:tc>
        <w:tc>
          <w:tcPr>
            <w:tcW w:w="3229" w:type="dxa"/>
          </w:tcPr>
          <w:p w14:paraId="7E3D24F1" w14:textId="22625C65" w:rsidR="00997F42" w:rsidRPr="00F54C45" w:rsidRDefault="00997F42" w:rsidP="004E4A9B">
            <w:pPr>
              <w:spacing w:beforeLines="60" w:before="144" w:afterLines="60" w:after="144" w:line="240" w:lineRule="auto"/>
              <w:jc w:val="left"/>
              <w:rPr>
                <w:sz w:val="22"/>
                <w:szCs w:val="22"/>
              </w:rPr>
            </w:pPr>
            <w:r w:rsidRPr="00F54C45">
              <w:rPr>
                <w:sz w:val="22"/>
                <w:szCs w:val="22"/>
              </w:rPr>
              <w:t xml:space="preserve">25. </w:t>
            </w:r>
            <w:r w:rsidR="007A1F94" w:rsidRPr="00F54C45">
              <w:rPr>
                <w:sz w:val="22"/>
                <w:szCs w:val="22"/>
              </w:rPr>
              <w:t>Contribute with suggestions for the revision of the internal regulation of the working hours of the teaching staff</w:t>
            </w:r>
          </w:p>
        </w:tc>
        <w:tc>
          <w:tcPr>
            <w:tcW w:w="1984" w:type="dxa"/>
          </w:tcPr>
          <w:p w14:paraId="0ABF33C8" w14:textId="4538E059" w:rsidR="00997F42" w:rsidRPr="00F54C45" w:rsidRDefault="00997F42" w:rsidP="004E4A9B">
            <w:pPr>
              <w:spacing w:beforeLines="60" w:before="144" w:afterLines="60" w:after="144" w:line="240" w:lineRule="auto"/>
              <w:jc w:val="left"/>
              <w:rPr>
                <w:b/>
                <w:bCs/>
                <w:sz w:val="22"/>
                <w:szCs w:val="22"/>
              </w:rPr>
            </w:pPr>
            <w:r w:rsidRPr="00F54C45">
              <w:rPr>
                <w:b/>
                <w:bCs/>
                <w:sz w:val="22"/>
                <w:szCs w:val="22"/>
              </w:rPr>
              <w:t>GDI</w:t>
            </w:r>
          </w:p>
        </w:tc>
        <w:tc>
          <w:tcPr>
            <w:tcW w:w="2125" w:type="dxa"/>
          </w:tcPr>
          <w:p w14:paraId="64322771" w14:textId="59A61111" w:rsidR="00997F42" w:rsidRPr="00F54C45" w:rsidRDefault="005D5FEB" w:rsidP="004E4A9B">
            <w:pPr>
              <w:spacing w:beforeLines="60" w:before="144" w:afterLines="60" w:after="144" w:line="240" w:lineRule="auto"/>
              <w:jc w:val="left"/>
              <w:rPr>
                <w:b/>
                <w:sz w:val="22"/>
                <w:szCs w:val="22"/>
              </w:rPr>
            </w:pPr>
            <w:r w:rsidRPr="00F54C45">
              <w:rPr>
                <w:sz w:val="22"/>
                <w:szCs w:val="22"/>
              </w:rPr>
              <w:t>Document containing recommendations.</w:t>
            </w:r>
          </w:p>
        </w:tc>
        <w:tc>
          <w:tcPr>
            <w:tcW w:w="722" w:type="dxa"/>
            <w:gridSpan w:val="2"/>
          </w:tcPr>
          <w:p w14:paraId="73200532" w14:textId="6E4165B1" w:rsidR="00997F42" w:rsidRPr="00F54C45" w:rsidRDefault="00997F42" w:rsidP="005A05C0">
            <w:pPr>
              <w:spacing w:beforeLines="60" w:before="144" w:afterLines="60" w:after="144" w:line="240" w:lineRule="auto"/>
              <w:jc w:val="center"/>
              <w:rPr>
                <w:sz w:val="22"/>
                <w:szCs w:val="22"/>
              </w:rPr>
            </w:pPr>
          </w:p>
        </w:tc>
        <w:tc>
          <w:tcPr>
            <w:tcW w:w="696" w:type="dxa"/>
          </w:tcPr>
          <w:p w14:paraId="2E7445A1" w14:textId="5DE721B3" w:rsidR="00997F42" w:rsidRPr="00F54C45" w:rsidRDefault="00997F42" w:rsidP="005A05C0">
            <w:pPr>
              <w:spacing w:beforeLines="60" w:before="144" w:afterLines="60" w:after="144" w:line="240" w:lineRule="auto"/>
              <w:jc w:val="center"/>
              <w:rPr>
                <w:sz w:val="22"/>
                <w:szCs w:val="22"/>
              </w:rPr>
            </w:pPr>
            <w:r w:rsidRPr="00F54C45">
              <w:rPr>
                <w:sz w:val="22"/>
                <w:szCs w:val="22"/>
              </w:rPr>
              <w:t>x</w:t>
            </w:r>
          </w:p>
        </w:tc>
        <w:tc>
          <w:tcPr>
            <w:tcW w:w="714" w:type="dxa"/>
          </w:tcPr>
          <w:p w14:paraId="3D9FEBB5" w14:textId="77777777" w:rsidR="00997F42" w:rsidRPr="00F54C45" w:rsidRDefault="00997F42" w:rsidP="005A05C0">
            <w:pPr>
              <w:spacing w:beforeLines="60" w:before="144" w:afterLines="60" w:after="144" w:line="240" w:lineRule="auto"/>
              <w:jc w:val="center"/>
              <w:rPr>
                <w:sz w:val="22"/>
                <w:szCs w:val="22"/>
              </w:rPr>
            </w:pPr>
          </w:p>
        </w:tc>
        <w:tc>
          <w:tcPr>
            <w:tcW w:w="2865" w:type="dxa"/>
          </w:tcPr>
          <w:p w14:paraId="3B225DC3" w14:textId="228FF748" w:rsidR="00997F42" w:rsidRPr="00F54C45" w:rsidRDefault="00997F42" w:rsidP="004E4A9B">
            <w:pPr>
              <w:spacing w:beforeLines="60" w:before="144" w:afterLines="60" w:after="144" w:line="240" w:lineRule="auto"/>
              <w:jc w:val="left"/>
              <w:rPr>
                <w:sz w:val="22"/>
                <w:szCs w:val="22"/>
              </w:rPr>
            </w:pPr>
            <w:r w:rsidRPr="00F54C45">
              <w:rPr>
                <w:sz w:val="22"/>
                <w:szCs w:val="22"/>
              </w:rPr>
              <w:t xml:space="preserve">1 </w:t>
            </w:r>
            <w:r w:rsidR="00976EDF" w:rsidRPr="00F54C45">
              <w:rPr>
                <w:sz w:val="22"/>
                <w:szCs w:val="22"/>
              </w:rPr>
              <w:t>recommendation until the end of</w:t>
            </w:r>
            <w:r w:rsidRPr="00F54C45">
              <w:rPr>
                <w:sz w:val="22"/>
                <w:szCs w:val="22"/>
              </w:rPr>
              <w:t xml:space="preserve"> 2023</w:t>
            </w:r>
          </w:p>
        </w:tc>
      </w:tr>
      <w:tr w:rsidR="00997F42" w:rsidRPr="00F54C45" w14:paraId="30E36832" w14:textId="77777777" w:rsidTr="00430035">
        <w:trPr>
          <w:cantSplit/>
        </w:trPr>
        <w:tc>
          <w:tcPr>
            <w:tcW w:w="2119" w:type="dxa"/>
            <w:vMerge/>
          </w:tcPr>
          <w:p w14:paraId="0AE8E69C" w14:textId="5AB14142" w:rsidR="00997F42" w:rsidRPr="00F54C45" w:rsidRDefault="00997F42" w:rsidP="00997F42">
            <w:pPr>
              <w:spacing w:beforeLines="60" w:before="144" w:afterLines="60" w:after="144" w:line="240" w:lineRule="auto"/>
              <w:jc w:val="left"/>
              <w:rPr>
                <w:sz w:val="22"/>
                <w:szCs w:val="22"/>
              </w:rPr>
            </w:pPr>
          </w:p>
        </w:tc>
        <w:tc>
          <w:tcPr>
            <w:tcW w:w="3229" w:type="dxa"/>
          </w:tcPr>
          <w:p w14:paraId="23E39437" w14:textId="54206EE2" w:rsidR="00997F42" w:rsidRPr="00F54C45" w:rsidRDefault="00997F42" w:rsidP="004E4A9B">
            <w:pPr>
              <w:spacing w:beforeLines="60" w:before="144" w:afterLines="60" w:after="144" w:line="240" w:lineRule="auto"/>
              <w:jc w:val="left"/>
              <w:rPr>
                <w:sz w:val="22"/>
                <w:szCs w:val="22"/>
              </w:rPr>
            </w:pPr>
            <w:r w:rsidRPr="00F54C45">
              <w:rPr>
                <w:sz w:val="22"/>
                <w:szCs w:val="22"/>
              </w:rPr>
              <w:t xml:space="preserve">26. </w:t>
            </w:r>
            <w:r w:rsidR="007A1F94" w:rsidRPr="00F54C45">
              <w:rPr>
                <w:sz w:val="22"/>
                <w:szCs w:val="22"/>
              </w:rPr>
              <w:t xml:space="preserve">Produce a recommendation </w:t>
            </w:r>
            <w:r w:rsidR="007A1F94" w:rsidRPr="00F54C45">
              <w:rPr>
                <w:sz w:val="22"/>
                <w:szCs w:val="22"/>
              </w:rPr>
              <w:t>for</w:t>
            </w:r>
            <w:r w:rsidR="007A1F94" w:rsidRPr="00F54C45">
              <w:rPr>
                <w:sz w:val="22"/>
                <w:szCs w:val="22"/>
              </w:rPr>
              <w:t xml:space="preserve"> meetings</w:t>
            </w:r>
            <w:r w:rsidR="007A1F94" w:rsidRPr="00F54C45">
              <w:rPr>
                <w:sz w:val="22"/>
                <w:szCs w:val="22"/>
              </w:rPr>
              <w:t xml:space="preserve"> to</w:t>
            </w:r>
            <w:r w:rsidR="007A1F94" w:rsidRPr="00F54C45">
              <w:rPr>
                <w:sz w:val="22"/>
                <w:szCs w:val="22"/>
              </w:rPr>
              <w:t xml:space="preserve"> be scheduled during normal working hours and that mandatory professional training/updating courses be held at times compatible with work and family responsibilities</w:t>
            </w:r>
          </w:p>
        </w:tc>
        <w:tc>
          <w:tcPr>
            <w:tcW w:w="1984" w:type="dxa"/>
          </w:tcPr>
          <w:p w14:paraId="6CB9B587" w14:textId="50149EC1" w:rsidR="00997F42" w:rsidRPr="00F54C45" w:rsidRDefault="00997F42" w:rsidP="004E4A9B">
            <w:pPr>
              <w:spacing w:beforeLines="60" w:before="144" w:afterLines="60" w:after="144" w:line="240" w:lineRule="auto"/>
              <w:jc w:val="left"/>
              <w:rPr>
                <w:b/>
                <w:bCs/>
                <w:sz w:val="22"/>
                <w:szCs w:val="22"/>
              </w:rPr>
            </w:pPr>
            <w:r w:rsidRPr="00F54C45">
              <w:rPr>
                <w:b/>
                <w:bCs/>
                <w:sz w:val="22"/>
                <w:szCs w:val="22"/>
              </w:rPr>
              <w:t>GDI</w:t>
            </w:r>
          </w:p>
        </w:tc>
        <w:tc>
          <w:tcPr>
            <w:tcW w:w="2125" w:type="dxa"/>
          </w:tcPr>
          <w:p w14:paraId="2B75FB0C" w14:textId="2590E810" w:rsidR="00997F42" w:rsidRPr="00F54C45" w:rsidRDefault="005D5FEB" w:rsidP="004E4A9B">
            <w:pPr>
              <w:spacing w:beforeLines="60" w:before="144" w:afterLines="60" w:after="144" w:line="240" w:lineRule="auto"/>
              <w:jc w:val="left"/>
              <w:rPr>
                <w:b/>
                <w:sz w:val="22"/>
                <w:szCs w:val="22"/>
              </w:rPr>
            </w:pPr>
            <w:r w:rsidRPr="00F54C45">
              <w:rPr>
                <w:sz w:val="22"/>
                <w:szCs w:val="22"/>
              </w:rPr>
              <w:t>Document containing recommendations.</w:t>
            </w:r>
          </w:p>
        </w:tc>
        <w:tc>
          <w:tcPr>
            <w:tcW w:w="722" w:type="dxa"/>
            <w:gridSpan w:val="2"/>
          </w:tcPr>
          <w:p w14:paraId="682CD0B3" w14:textId="5CFBC459" w:rsidR="00997F42" w:rsidRPr="00F54C45" w:rsidRDefault="00997F42" w:rsidP="005A05C0">
            <w:pPr>
              <w:spacing w:beforeLines="60" w:before="144" w:afterLines="60" w:after="144" w:line="240" w:lineRule="auto"/>
              <w:jc w:val="center"/>
              <w:rPr>
                <w:sz w:val="22"/>
                <w:szCs w:val="22"/>
              </w:rPr>
            </w:pPr>
          </w:p>
        </w:tc>
        <w:tc>
          <w:tcPr>
            <w:tcW w:w="696" w:type="dxa"/>
          </w:tcPr>
          <w:p w14:paraId="1A4F5EF6" w14:textId="41A88357" w:rsidR="00997F42" w:rsidRPr="00F54C45" w:rsidRDefault="00997F42" w:rsidP="005A05C0">
            <w:pPr>
              <w:spacing w:beforeLines="60" w:before="144" w:afterLines="60" w:after="144" w:line="240" w:lineRule="auto"/>
              <w:jc w:val="center"/>
              <w:rPr>
                <w:sz w:val="22"/>
                <w:szCs w:val="22"/>
              </w:rPr>
            </w:pPr>
            <w:r w:rsidRPr="00F54C45">
              <w:rPr>
                <w:sz w:val="22"/>
                <w:szCs w:val="22"/>
              </w:rPr>
              <w:t>x</w:t>
            </w:r>
          </w:p>
        </w:tc>
        <w:tc>
          <w:tcPr>
            <w:tcW w:w="714" w:type="dxa"/>
          </w:tcPr>
          <w:p w14:paraId="71FAC779" w14:textId="77777777" w:rsidR="00997F42" w:rsidRPr="00F54C45" w:rsidRDefault="00997F42" w:rsidP="005A05C0">
            <w:pPr>
              <w:spacing w:beforeLines="60" w:before="144" w:afterLines="60" w:after="144" w:line="240" w:lineRule="auto"/>
              <w:jc w:val="center"/>
              <w:rPr>
                <w:sz w:val="22"/>
                <w:szCs w:val="22"/>
              </w:rPr>
            </w:pPr>
          </w:p>
        </w:tc>
        <w:tc>
          <w:tcPr>
            <w:tcW w:w="2865" w:type="dxa"/>
          </w:tcPr>
          <w:p w14:paraId="3CC3716E" w14:textId="29B1C9B7" w:rsidR="00997F42" w:rsidRPr="00F54C45" w:rsidRDefault="00976EDF" w:rsidP="004E4A9B">
            <w:pPr>
              <w:spacing w:beforeLines="60" w:before="144" w:afterLines="60" w:after="144" w:line="240" w:lineRule="auto"/>
              <w:jc w:val="left"/>
              <w:rPr>
                <w:sz w:val="22"/>
                <w:szCs w:val="22"/>
              </w:rPr>
            </w:pPr>
            <w:r w:rsidRPr="00F54C45">
              <w:rPr>
                <w:sz w:val="22"/>
                <w:szCs w:val="22"/>
              </w:rPr>
              <w:t>1 recommendation until the end of 2023</w:t>
            </w:r>
          </w:p>
        </w:tc>
      </w:tr>
      <w:tr w:rsidR="00997F42" w:rsidRPr="00F54C45" w14:paraId="51D1FE5A" w14:textId="77777777" w:rsidTr="00430035">
        <w:trPr>
          <w:cantSplit/>
        </w:trPr>
        <w:tc>
          <w:tcPr>
            <w:tcW w:w="2119" w:type="dxa"/>
            <w:vMerge/>
          </w:tcPr>
          <w:p w14:paraId="323F0108" w14:textId="1F480862" w:rsidR="00997F42" w:rsidRPr="00F54C45" w:rsidRDefault="00997F42" w:rsidP="00997F42">
            <w:pPr>
              <w:spacing w:beforeLines="60" w:before="144" w:afterLines="60" w:after="144" w:line="240" w:lineRule="auto"/>
              <w:jc w:val="left"/>
              <w:rPr>
                <w:sz w:val="22"/>
                <w:szCs w:val="22"/>
              </w:rPr>
            </w:pPr>
          </w:p>
        </w:tc>
        <w:tc>
          <w:tcPr>
            <w:tcW w:w="3229" w:type="dxa"/>
          </w:tcPr>
          <w:p w14:paraId="36176B9F" w14:textId="04F48226" w:rsidR="00997F42" w:rsidRPr="00F54C45" w:rsidRDefault="00997F42" w:rsidP="00997F42">
            <w:pPr>
              <w:spacing w:beforeLines="60" w:before="144" w:afterLines="60" w:after="144" w:line="240" w:lineRule="auto"/>
              <w:jc w:val="left"/>
              <w:rPr>
                <w:sz w:val="22"/>
                <w:szCs w:val="22"/>
              </w:rPr>
            </w:pPr>
            <w:r w:rsidRPr="00F54C45">
              <w:rPr>
                <w:sz w:val="22"/>
                <w:szCs w:val="22"/>
              </w:rPr>
              <w:t xml:space="preserve">27. </w:t>
            </w:r>
            <w:r w:rsidR="007A1F94" w:rsidRPr="00F54C45">
              <w:rPr>
                <w:sz w:val="22"/>
                <w:szCs w:val="22"/>
              </w:rPr>
              <w:t>Carry out actions to disseminate information about the rights to work-family articulation existing in the law, appropriate to workers and students.</w:t>
            </w:r>
          </w:p>
        </w:tc>
        <w:tc>
          <w:tcPr>
            <w:tcW w:w="1984" w:type="dxa"/>
          </w:tcPr>
          <w:p w14:paraId="3B8872D3" w14:textId="2B2696A3" w:rsidR="00997F42" w:rsidRPr="00F54C45" w:rsidRDefault="00997F42" w:rsidP="00997F42">
            <w:pPr>
              <w:spacing w:beforeLines="60" w:before="144" w:afterLines="60" w:after="144" w:line="240" w:lineRule="auto"/>
              <w:jc w:val="left"/>
              <w:rPr>
                <w:b/>
                <w:bCs/>
                <w:sz w:val="22"/>
                <w:szCs w:val="22"/>
              </w:rPr>
            </w:pPr>
            <w:r w:rsidRPr="00F54C45">
              <w:rPr>
                <w:b/>
                <w:bCs/>
                <w:sz w:val="22"/>
                <w:szCs w:val="22"/>
              </w:rPr>
              <w:t>GDI</w:t>
            </w:r>
          </w:p>
        </w:tc>
        <w:tc>
          <w:tcPr>
            <w:tcW w:w="2125" w:type="dxa"/>
          </w:tcPr>
          <w:p w14:paraId="7B8D2127" w14:textId="77777777" w:rsidR="005D5FEB" w:rsidRPr="00F54C45" w:rsidRDefault="005D5FEB" w:rsidP="005D5FEB">
            <w:pPr>
              <w:spacing w:beforeLines="60" w:before="144" w:afterLines="60" w:after="144" w:line="240" w:lineRule="auto"/>
              <w:jc w:val="left"/>
              <w:rPr>
                <w:sz w:val="22"/>
                <w:szCs w:val="22"/>
              </w:rPr>
            </w:pPr>
            <w:r w:rsidRPr="00F54C45">
              <w:rPr>
                <w:sz w:val="22"/>
                <w:szCs w:val="22"/>
              </w:rPr>
              <w:t>No. and type of initiatives</w:t>
            </w:r>
          </w:p>
          <w:p w14:paraId="703DD8D0" w14:textId="77777777" w:rsidR="005D5FEB" w:rsidRPr="00F54C45" w:rsidRDefault="005D5FEB" w:rsidP="005D5FEB">
            <w:pPr>
              <w:spacing w:beforeLines="60" w:before="144" w:afterLines="60" w:after="144" w:line="240" w:lineRule="auto"/>
              <w:jc w:val="left"/>
              <w:rPr>
                <w:sz w:val="22"/>
                <w:szCs w:val="22"/>
              </w:rPr>
            </w:pPr>
            <w:r w:rsidRPr="00F54C45">
              <w:rPr>
                <w:sz w:val="22"/>
                <w:szCs w:val="22"/>
              </w:rPr>
              <w:t>No. of participants</w:t>
            </w:r>
          </w:p>
          <w:p w14:paraId="0FB3A950" w14:textId="77777777" w:rsidR="005D5FEB" w:rsidRPr="00F54C45" w:rsidRDefault="005D5FEB" w:rsidP="005D5FEB">
            <w:pPr>
              <w:spacing w:beforeLines="60" w:before="144" w:afterLines="60" w:after="144" w:line="240" w:lineRule="auto"/>
              <w:jc w:val="left"/>
              <w:rPr>
                <w:sz w:val="22"/>
                <w:szCs w:val="22"/>
              </w:rPr>
            </w:pPr>
            <w:r w:rsidRPr="00F54C45">
              <w:rPr>
                <w:sz w:val="22"/>
                <w:szCs w:val="22"/>
              </w:rPr>
              <w:t xml:space="preserve">No. of surveys filled out by participants; </w:t>
            </w:r>
          </w:p>
          <w:p w14:paraId="7CA9EE1A" w14:textId="7A731E60" w:rsidR="00997F42" w:rsidRPr="00F54C45" w:rsidRDefault="005D5FEB" w:rsidP="005D5FEB">
            <w:pPr>
              <w:spacing w:beforeLines="60" w:before="144" w:afterLines="60" w:after="144" w:line="240" w:lineRule="auto"/>
              <w:jc w:val="left"/>
              <w:rPr>
                <w:sz w:val="22"/>
                <w:szCs w:val="22"/>
              </w:rPr>
            </w:pPr>
            <w:r w:rsidRPr="00F54C45">
              <w:rPr>
                <w:sz w:val="22"/>
                <w:szCs w:val="22"/>
                <w:lang w:val="pt-PT"/>
              </w:rPr>
              <w:t>Evaluation report.</w:t>
            </w:r>
          </w:p>
        </w:tc>
        <w:tc>
          <w:tcPr>
            <w:tcW w:w="722" w:type="dxa"/>
            <w:gridSpan w:val="2"/>
          </w:tcPr>
          <w:p w14:paraId="1E205967" w14:textId="15172865" w:rsidR="00997F42" w:rsidRPr="00F54C45" w:rsidRDefault="00997F42" w:rsidP="00997F42">
            <w:pPr>
              <w:spacing w:beforeLines="60" w:before="144" w:afterLines="60" w:after="144" w:line="240" w:lineRule="auto"/>
              <w:jc w:val="center"/>
              <w:rPr>
                <w:sz w:val="22"/>
                <w:szCs w:val="22"/>
              </w:rPr>
            </w:pPr>
            <w:r w:rsidRPr="00F54C45">
              <w:rPr>
                <w:sz w:val="22"/>
                <w:szCs w:val="22"/>
              </w:rPr>
              <w:t>x</w:t>
            </w:r>
          </w:p>
        </w:tc>
        <w:tc>
          <w:tcPr>
            <w:tcW w:w="696" w:type="dxa"/>
          </w:tcPr>
          <w:p w14:paraId="5A1284EE" w14:textId="34757775" w:rsidR="00997F42" w:rsidRPr="00F54C45" w:rsidRDefault="00997F42" w:rsidP="00997F42">
            <w:pPr>
              <w:spacing w:beforeLines="60" w:before="144" w:afterLines="60" w:after="144" w:line="240" w:lineRule="auto"/>
              <w:jc w:val="center"/>
              <w:rPr>
                <w:sz w:val="22"/>
                <w:szCs w:val="22"/>
              </w:rPr>
            </w:pPr>
            <w:r w:rsidRPr="00F54C45">
              <w:rPr>
                <w:sz w:val="22"/>
                <w:szCs w:val="22"/>
              </w:rPr>
              <w:t>x</w:t>
            </w:r>
          </w:p>
        </w:tc>
        <w:tc>
          <w:tcPr>
            <w:tcW w:w="714" w:type="dxa"/>
          </w:tcPr>
          <w:p w14:paraId="1382875D" w14:textId="19748DA6" w:rsidR="00997F42" w:rsidRPr="00F54C45" w:rsidRDefault="00997F42" w:rsidP="00997F42">
            <w:pPr>
              <w:spacing w:beforeLines="60" w:before="144" w:afterLines="60" w:after="144" w:line="240" w:lineRule="auto"/>
              <w:jc w:val="center"/>
              <w:rPr>
                <w:sz w:val="22"/>
                <w:szCs w:val="22"/>
              </w:rPr>
            </w:pPr>
            <w:r w:rsidRPr="00F54C45">
              <w:rPr>
                <w:sz w:val="22"/>
                <w:szCs w:val="22"/>
              </w:rPr>
              <w:t>x</w:t>
            </w:r>
          </w:p>
        </w:tc>
        <w:tc>
          <w:tcPr>
            <w:tcW w:w="2865" w:type="dxa"/>
          </w:tcPr>
          <w:p w14:paraId="118FB9A7" w14:textId="0D652D10" w:rsidR="00997F42" w:rsidRPr="00F54C45" w:rsidRDefault="00997F42" w:rsidP="00997F42">
            <w:pPr>
              <w:spacing w:beforeLines="60" w:before="144" w:afterLines="60" w:after="144" w:line="240" w:lineRule="auto"/>
              <w:jc w:val="left"/>
              <w:rPr>
                <w:sz w:val="22"/>
                <w:szCs w:val="22"/>
                <w:lang w:val="pt-PT"/>
              </w:rPr>
            </w:pPr>
            <w:r w:rsidRPr="00F54C45">
              <w:rPr>
                <w:sz w:val="22"/>
                <w:szCs w:val="22"/>
                <w:lang w:val="pt-PT"/>
              </w:rPr>
              <w:t xml:space="preserve">1 </w:t>
            </w:r>
            <w:r w:rsidR="00976EDF" w:rsidRPr="00F54C45">
              <w:rPr>
                <w:sz w:val="22"/>
                <w:szCs w:val="22"/>
                <w:lang w:val="pt-PT"/>
              </w:rPr>
              <w:t>dissemination action per year</w:t>
            </w:r>
          </w:p>
        </w:tc>
      </w:tr>
    </w:tbl>
    <w:p w14:paraId="47217FAC" w14:textId="525245C8" w:rsidR="00324724" w:rsidRPr="00F54C45" w:rsidRDefault="00324724">
      <w:pPr>
        <w:rPr>
          <w:lang w:val="pt-PT"/>
        </w:rPr>
      </w:pPr>
    </w:p>
    <w:p w14:paraId="394BDA34" w14:textId="77777777" w:rsidR="00324724" w:rsidRPr="00F54C45" w:rsidRDefault="00324724">
      <w:pPr>
        <w:spacing w:after="160" w:line="259" w:lineRule="auto"/>
        <w:jc w:val="left"/>
        <w:rPr>
          <w:lang w:val="pt-PT"/>
        </w:rPr>
      </w:pPr>
      <w:r w:rsidRPr="00F54C45">
        <w:rPr>
          <w:lang w:val="pt-PT"/>
        </w:rPr>
        <w:br w:type="page"/>
      </w:r>
    </w:p>
    <w:tbl>
      <w:tblPr>
        <w:tblStyle w:val="Tabelacomgrade"/>
        <w:tblW w:w="14441" w:type="dxa"/>
        <w:tblLayout w:type="fixed"/>
        <w:tblLook w:val="04A0" w:firstRow="1" w:lastRow="0" w:firstColumn="1" w:lastColumn="0" w:noHBand="0" w:noVBand="1"/>
      </w:tblPr>
      <w:tblGrid>
        <w:gridCol w:w="2120"/>
        <w:gridCol w:w="3230"/>
        <w:gridCol w:w="1984"/>
        <w:gridCol w:w="2125"/>
        <w:gridCol w:w="709"/>
        <w:gridCol w:w="13"/>
        <w:gridCol w:w="696"/>
        <w:gridCol w:w="714"/>
        <w:gridCol w:w="2833"/>
        <w:gridCol w:w="17"/>
      </w:tblGrid>
      <w:tr w:rsidR="001066B2" w:rsidRPr="00F54C45" w14:paraId="51D5149F" w14:textId="77777777" w:rsidTr="00997F42">
        <w:trPr>
          <w:gridAfter w:val="1"/>
          <w:wAfter w:w="17" w:type="dxa"/>
          <w:cantSplit/>
        </w:trPr>
        <w:tc>
          <w:tcPr>
            <w:tcW w:w="14424" w:type="dxa"/>
            <w:gridSpan w:val="9"/>
            <w:shd w:val="clear" w:color="auto" w:fill="auto"/>
            <w:vAlign w:val="center"/>
          </w:tcPr>
          <w:p w14:paraId="2B25525A" w14:textId="00224400" w:rsidR="001066B2" w:rsidRPr="00F54C45" w:rsidRDefault="00814D5B" w:rsidP="00027396">
            <w:pPr>
              <w:spacing w:after="0" w:line="240" w:lineRule="auto"/>
              <w:jc w:val="center"/>
              <w:rPr>
                <w:sz w:val="22"/>
                <w:szCs w:val="22"/>
              </w:rPr>
            </w:pPr>
            <w:r w:rsidRPr="00F54C45">
              <w:rPr>
                <w:sz w:val="22"/>
                <w:szCs w:val="22"/>
              </w:rPr>
              <w:lastRenderedPageBreak/>
              <w:t>Priority Area</w:t>
            </w:r>
            <w:r w:rsidR="001066B2" w:rsidRPr="00F54C45">
              <w:rPr>
                <w:sz w:val="22"/>
                <w:szCs w:val="22"/>
              </w:rPr>
              <w:t xml:space="preserve"> 6 – </w:t>
            </w:r>
            <w:r w:rsidR="00976EDF" w:rsidRPr="00F54C45">
              <w:rPr>
                <w:sz w:val="22"/>
                <w:szCs w:val="22"/>
              </w:rPr>
              <w:t xml:space="preserve">Balancing work life and personal and family life </w:t>
            </w:r>
            <w:r w:rsidR="001066B2" w:rsidRPr="00F54C45">
              <w:rPr>
                <w:sz w:val="22"/>
                <w:szCs w:val="22"/>
              </w:rPr>
              <w:t>(continu</w:t>
            </w:r>
            <w:r w:rsidR="00976EDF" w:rsidRPr="00F54C45">
              <w:rPr>
                <w:sz w:val="22"/>
                <w:szCs w:val="22"/>
              </w:rPr>
              <w:t>ed</w:t>
            </w:r>
            <w:r w:rsidR="001066B2" w:rsidRPr="00F54C45">
              <w:rPr>
                <w:sz w:val="22"/>
                <w:szCs w:val="22"/>
              </w:rPr>
              <w:t>)</w:t>
            </w:r>
          </w:p>
        </w:tc>
      </w:tr>
      <w:tr w:rsidR="00976EDF" w:rsidRPr="00F54C45" w14:paraId="797B679B" w14:textId="77777777" w:rsidTr="00997F42">
        <w:trPr>
          <w:gridAfter w:val="1"/>
          <w:wAfter w:w="17" w:type="dxa"/>
          <w:cantSplit/>
        </w:trPr>
        <w:tc>
          <w:tcPr>
            <w:tcW w:w="2120" w:type="dxa"/>
            <w:vMerge w:val="restart"/>
            <w:shd w:val="clear" w:color="auto" w:fill="D9D9D9" w:themeFill="background1" w:themeFillShade="D9"/>
            <w:vAlign w:val="center"/>
          </w:tcPr>
          <w:p w14:paraId="7684EE00" w14:textId="4831C0D4" w:rsidR="00976EDF" w:rsidRPr="00F54C45" w:rsidRDefault="00976EDF" w:rsidP="00976EDF">
            <w:pPr>
              <w:spacing w:after="0" w:line="240" w:lineRule="auto"/>
              <w:jc w:val="center"/>
              <w:rPr>
                <w:sz w:val="22"/>
                <w:szCs w:val="22"/>
              </w:rPr>
            </w:pPr>
            <w:r w:rsidRPr="00F54C45">
              <w:rPr>
                <w:sz w:val="22"/>
                <w:szCs w:val="22"/>
              </w:rPr>
              <w:t>Goals</w:t>
            </w:r>
          </w:p>
        </w:tc>
        <w:tc>
          <w:tcPr>
            <w:tcW w:w="3230" w:type="dxa"/>
            <w:vMerge w:val="restart"/>
            <w:shd w:val="clear" w:color="auto" w:fill="D9D9D9" w:themeFill="background1" w:themeFillShade="D9"/>
            <w:vAlign w:val="center"/>
          </w:tcPr>
          <w:p w14:paraId="64AB78D3" w14:textId="420E9B98" w:rsidR="00976EDF" w:rsidRPr="00F54C45" w:rsidRDefault="00976EDF" w:rsidP="00976EDF">
            <w:pPr>
              <w:spacing w:after="0" w:line="240" w:lineRule="auto"/>
              <w:jc w:val="center"/>
              <w:rPr>
                <w:sz w:val="22"/>
                <w:szCs w:val="22"/>
              </w:rPr>
            </w:pPr>
            <w:r w:rsidRPr="00F54C45">
              <w:rPr>
                <w:sz w:val="22"/>
                <w:szCs w:val="22"/>
              </w:rPr>
              <w:t>Actions</w:t>
            </w:r>
          </w:p>
        </w:tc>
        <w:tc>
          <w:tcPr>
            <w:tcW w:w="1984" w:type="dxa"/>
            <w:vMerge w:val="restart"/>
            <w:shd w:val="clear" w:color="auto" w:fill="D9D9D9" w:themeFill="background1" w:themeFillShade="D9"/>
            <w:vAlign w:val="center"/>
          </w:tcPr>
          <w:p w14:paraId="0D31B117" w14:textId="77777777" w:rsidR="00976EDF" w:rsidRPr="00F54C45" w:rsidRDefault="00976EDF" w:rsidP="00976EDF">
            <w:pPr>
              <w:spacing w:after="0" w:line="240" w:lineRule="auto"/>
              <w:jc w:val="center"/>
              <w:rPr>
                <w:b/>
                <w:bCs/>
                <w:sz w:val="22"/>
                <w:szCs w:val="22"/>
              </w:rPr>
            </w:pPr>
            <w:r w:rsidRPr="00F54C45">
              <w:rPr>
                <w:b/>
                <w:bCs/>
                <w:sz w:val="22"/>
                <w:szCs w:val="22"/>
              </w:rPr>
              <w:t>Chair:</w:t>
            </w:r>
          </w:p>
          <w:p w14:paraId="21471630" w14:textId="46636618" w:rsidR="00976EDF" w:rsidRPr="00F54C45" w:rsidRDefault="00976EDF" w:rsidP="00976EDF">
            <w:pPr>
              <w:spacing w:after="0" w:line="240" w:lineRule="auto"/>
              <w:jc w:val="center"/>
              <w:rPr>
                <w:sz w:val="22"/>
                <w:szCs w:val="22"/>
              </w:rPr>
            </w:pPr>
            <w:r w:rsidRPr="00F54C45">
              <w:rPr>
                <w:sz w:val="22"/>
                <w:szCs w:val="22"/>
              </w:rPr>
              <w:t>Staff</w:t>
            </w:r>
          </w:p>
        </w:tc>
        <w:tc>
          <w:tcPr>
            <w:tcW w:w="2125" w:type="dxa"/>
            <w:vMerge w:val="restart"/>
            <w:shd w:val="clear" w:color="auto" w:fill="D9D9D9" w:themeFill="background1" w:themeFillShade="D9"/>
            <w:vAlign w:val="center"/>
          </w:tcPr>
          <w:p w14:paraId="3F2AF99E" w14:textId="20D9A5B4" w:rsidR="00976EDF" w:rsidRPr="00F54C45" w:rsidRDefault="00976EDF" w:rsidP="00976EDF">
            <w:pPr>
              <w:spacing w:after="0" w:line="240" w:lineRule="auto"/>
              <w:jc w:val="center"/>
              <w:rPr>
                <w:sz w:val="22"/>
                <w:szCs w:val="22"/>
              </w:rPr>
            </w:pPr>
            <w:r w:rsidRPr="00F54C45">
              <w:rPr>
                <w:sz w:val="22"/>
                <w:szCs w:val="22"/>
              </w:rPr>
              <w:t>Indicator</w:t>
            </w:r>
          </w:p>
        </w:tc>
        <w:tc>
          <w:tcPr>
            <w:tcW w:w="2132" w:type="dxa"/>
            <w:gridSpan w:val="4"/>
            <w:shd w:val="clear" w:color="auto" w:fill="D9D9D9" w:themeFill="background1" w:themeFillShade="D9"/>
            <w:vAlign w:val="center"/>
          </w:tcPr>
          <w:p w14:paraId="6EB6F57E" w14:textId="710C9CBB" w:rsidR="00976EDF" w:rsidRPr="00F54C45" w:rsidRDefault="00976EDF" w:rsidP="00976EDF">
            <w:pPr>
              <w:spacing w:after="0" w:line="240" w:lineRule="auto"/>
              <w:jc w:val="center"/>
              <w:rPr>
                <w:sz w:val="22"/>
                <w:szCs w:val="22"/>
              </w:rPr>
            </w:pPr>
            <w:r w:rsidRPr="00F54C45">
              <w:rPr>
                <w:sz w:val="22"/>
                <w:szCs w:val="22"/>
              </w:rPr>
              <w:t>Implementation</w:t>
            </w:r>
          </w:p>
        </w:tc>
        <w:tc>
          <w:tcPr>
            <w:tcW w:w="2833" w:type="dxa"/>
            <w:vMerge w:val="restart"/>
            <w:shd w:val="clear" w:color="auto" w:fill="D9D9D9" w:themeFill="background1" w:themeFillShade="D9"/>
            <w:vAlign w:val="center"/>
          </w:tcPr>
          <w:p w14:paraId="7BF4CD78" w14:textId="05040512" w:rsidR="00976EDF" w:rsidRPr="00F54C45" w:rsidRDefault="00976EDF" w:rsidP="00976EDF">
            <w:pPr>
              <w:spacing w:after="0" w:line="240" w:lineRule="auto"/>
              <w:jc w:val="center"/>
              <w:rPr>
                <w:sz w:val="22"/>
                <w:szCs w:val="22"/>
              </w:rPr>
            </w:pPr>
            <w:r w:rsidRPr="00F54C45">
              <w:rPr>
                <w:sz w:val="22"/>
                <w:szCs w:val="22"/>
              </w:rPr>
              <w:t>Targets</w:t>
            </w:r>
          </w:p>
        </w:tc>
      </w:tr>
      <w:tr w:rsidR="001066B2" w:rsidRPr="00F54C45" w14:paraId="0119E53B" w14:textId="77777777" w:rsidTr="00997F42">
        <w:trPr>
          <w:gridAfter w:val="1"/>
          <w:wAfter w:w="17" w:type="dxa"/>
          <w:cantSplit/>
        </w:trPr>
        <w:tc>
          <w:tcPr>
            <w:tcW w:w="2120" w:type="dxa"/>
            <w:vMerge/>
            <w:vAlign w:val="center"/>
          </w:tcPr>
          <w:p w14:paraId="0E429E9F" w14:textId="77777777" w:rsidR="001066B2" w:rsidRPr="00F54C45" w:rsidRDefault="001066B2" w:rsidP="00027396">
            <w:pPr>
              <w:spacing w:after="0" w:line="240" w:lineRule="auto"/>
              <w:jc w:val="center"/>
              <w:rPr>
                <w:sz w:val="22"/>
                <w:szCs w:val="22"/>
              </w:rPr>
            </w:pPr>
          </w:p>
        </w:tc>
        <w:tc>
          <w:tcPr>
            <w:tcW w:w="3230" w:type="dxa"/>
            <w:vMerge/>
            <w:vAlign w:val="center"/>
          </w:tcPr>
          <w:p w14:paraId="2CCBF03C" w14:textId="77777777" w:rsidR="001066B2" w:rsidRPr="00F54C45" w:rsidRDefault="001066B2" w:rsidP="00027396">
            <w:pPr>
              <w:spacing w:after="0" w:line="240" w:lineRule="auto"/>
              <w:jc w:val="center"/>
              <w:rPr>
                <w:sz w:val="22"/>
                <w:szCs w:val="22"/>
              </w:rPr>
            </w:pPr>
          </w:p>
        </w:tc>
        <w:tc>
          <w:tcPr>
            <w:tcW w:w="1984" w:type="dxa"/>
            <w:vMerge/>
            <w:vAlign w:val="center"/>
          </w:tcPr>
          <w:p w14:paraId="26CC09A9" w14:textId="77777777" w:rsidR="001066B2" w:rsidRPr="00F54C45" w:rsidRDefault="001066B2" w:rsidP="00027396">
            <w:pPr>
              <w:spacing w:after="0" w:line="240" w:lineRule="auto"/>
              <w:jc w:val="center"/>
              <w:rPr>
                <w:sz w:val="22"/>
                <w:szCs w:val="22"/>
              </w:rPr>
            </w:pPr>
          </w:p>
        </w:tc>
        <w:tc>
          <w:tcPr>
            <w:tcW w:w="2125" w:type="dxa"/>
            <w:vMerge/>
            <w:vAlign w:val="center"/>
          </w:tcPr>
          <w:p w14:paraId="7C9B6664" w14:textId="77777777" w:rsidR="001066B2" w:rsidRPr="00F54C45" w:rsidRDefault="001066B2" w:rsidP="00027396">
            <w:pPr>
              <w:spacing w:after="0" w:line="240" w:lineRule="auto"/>
              <w:jc w:val="center"/>
              <w:rPr>
                <w:sz w:val="22"/>
                <w:szCs w:val="22"/>
              </w:rPr>
            </w:pPr>
          </w:p>
        </w:tc>
        <w:tc>
          <w:tcPr>
            <w:tcW w:w="709" w:type="dxa"/>
            <w:shd w:val="clear" w:color="auto" w:fill="D9D9D9" w:themeFill="background1" w:themeFillShade="D9"/>
            <w:vAlign w:val="center"/>
          </w:tcPr>
          <w:p w14:paraId="70B40DE6" w14:textId="77777777" w:rsidR="001066B2" w:rsidRPr="00F54C45" w:rsidRDefault="001066B2" w:rsidP="00027396">
            <w:pPr>
              <w:spacing w:after="0" w:line="240" w:lineRule="auto"/>
              <w:jc w:val="center"/>
              <w:rPr>
                <w:sz w:val="22"/>
                <w:szCs w:val="22"/>
              </w:rPr>
            </w:pPr>
            <w:r w:rsidRPr="00F54C45">
              <w:rPr>
                <w:sz w:val="22"/>
                <w:szCs w:val="22"/>
              </w:rPr>
              <w:t>2022</w:t>
            </w:r>
          </w:p>
        </w:tc>
        <w:tc>
          <w:tcPr>
            <w:tcW w:w="709" w:type="dxa"/>
            <w:gridSpan w:val="2"/>
            <w:shd w:val="clear" w:color="auto" w:fill="D9D9D9" w:themeFill="background1" w:themeFillShade="D9"/>
            <w:vAlign w:val="center"/>
          </w:tcPr>
          <w:p w14:paraId="46862F42" w14:textId="77777777" w:rsidR="001066B2" w:rsidRPr="00F54C45" w:rsidRDefault="001066B2" w:rsidP="00027396">
            <w:pPr>
              <w:spacing w:after="0" w:line="240" w:lineRule="auto"/>
              <w:jc w:val="center"/>
              <w:rPr>
                <w:sz w:val="22"/>
                <w:szCs w:val="22"/>
              </w:rPr>
            </w:pPr>
            <w:r w:rsidRPr="00F54C45">
              <w:rPr>
                <w:sz w:val="22"/>
                <w:szCs w:val="22"/>
              </w:rPr>
              <w:t>2023</w:t>
            </w:r>
          </w:p>
        </w:tc>
        <w:tc>
          <w:tcPr>
            <w:tcW w:w="714" w:type="dxa"/>
            <w:shd w:val="clear" w:color="auto" w:fill="D9D9D9" w:themeFill="background1" w:themeFillShade="D9"/>
            <w:vAlign w:val="center"/>
          </w:tcPr>
          <w:p w14:paraId="24CFD6D0" w14:textId="77777777" w:rsidR="001066B2" w:rsidRPr="00F54C45" w:rsidRDefault="001066B2" w:rsidP="00027396">
            <w:pPr>
              <w:spacing w:after="0" w:line="240" w:lineRule="auto"/>
              <w:jc w:val="center"/>
              <w:rPr>
                <w:sz w:val="22"/>
                <w:szCs w:val="22"/>
              </w:rPr>
            </w:pPr>
            <w:r w:rsidRPr="00F54C45">
              <w:rPr>
                <w:sz w:val="22"/>
                <w:szCs w:val="22"/>
              </w:rPr>
              <w:t>2024</w:t>
            </w:r>
          </w:p>
        </w:tc>
        <w:tc>
          <w:tcPr>
            <w:tcW w:w="2833" w:type="dxa"/>
            <w:vMerge/>
            <w:vAlign w:val="center"/>
          </w:tcPr>
          <w:p w14:paraId="5470A940" w14:textId="77777777" w:rsidR="001066B2" w:rsidRPr="00F54C45" w:rsidRDefault="001066B2" w:rsidP="00027396">
            <w:pPr>
              <w:spacing w:after="0" w:line="240" w:lineRule="auto"/>
              <w:jc w:val="center"/>
              <w:rPr>
                <w:sz w:val="22"/>
                <w:szCs w:val="22"/>
              </w:rPr>
            </w:pPr>
          </w:p>
        </w:tc>
      </w:tr>
      <w:tr w:rsidR="00D07ED2" w:rsidRPr="00F54C45" w14:paraId="02790286" w14:textId="77777777" w:rsidTr="001066B2">
        <w:trPr>
          <w:cantSplit/>
        </w:trPr>
        <w:tc>
          <w:tcPr>
            <w:tcW w:w="2120" w:type="dxa"/>
            <w:vMerge w:val="restart"/>
          </w:tcPr>
          <w:p w14:paraId="0EF6A719" w14:textId="75056567" w:rsidR="00D07ED2" w:rsidRPr="00F54C45" w:rsidRDefault="00D751E4" w:rsidP="004E4A9B">
            <w:pPr>
              <w:spacing w:beforeLines="60" w:before="144" w:afterLines="60" w:after="144" w:line="240" w:lineRule="auto"/>
              <w:jc w:val="left"/>
              <w:rPr>
                <w:sz w:val="22"/>
                <w:szCs w:val="22"/>
              </w:rPr>
            </w:pPr>
            <w:r w:rsidRPr="00F54C45">
              <w:rPr>
                <w:sz w:val="22"/>
                <w:szCs w:val="22"/>
              </w:rPr>
              <w:t xml:space="preserve">Improve the </w:t>
            </w:r>
            <w:r w:rsidRPr="00F54C45">
              <w:rPr>
                <w:sz w:val="22"/>
                <w:szCs w:val="22"/>
              </w:rPr>
              <w:t>re</w:t>
            </w:r>
            <w:r w:rsidRPr="00F54C45">
              <w:rPr>
                <w:sz w:val="22"/>
                <w:szCs w:val="22"/>
              </w:rPr>
              <w:t>conciliation between professional, personal and family life of employees (faculty members and technical staff)</w:t>
            </w:r>
          </w:p>
        </w:tc>
        <w:tc>
          <w:tcPr>
            <w:tcW w:w="3230" w:type="dxa"/>
          </w:tcPr>
          <w:p w14:paraId="27751A43" w14:textId="4C6073CA" w:rsidR="00D07ED2" w:rsidRPr="00F54C45" w:rsidRDefault="00D07ED2" w:rsidP="004E4A9B">
            <w:pPr>
              <w:spacing w:beforeLines="60" w:before="144" w:afterLines="60" w:after="144" w:line="240" w:lineRule="auto"/>
              <w:jc w:val="left"/>
              <w:rPr>
                <w:sz w:val="22"/>
                <w:szCs w:val="22"/>
              </w:rPr>
            </w:pPr>
            <w:r w:rsidRPr="00F54C45">
              <w:rPr>
                <w:sz w:val="22"/>
                <w:szCs w:val="22"/>
              </w:rPr>
              <w:t xml:space="preserve">28. </w:t>
            </w:r>
            <w:r w:rsidR="00976EDF" w:rsidRPr="00F54C45">
              <w:rPr>
                <w:sz w:val="22"/>
                <w:szCs w:val="22"/>
              </w:rPr>
              <w:t>Implementation of the Reconciliation Management System (CMS) procedures NP-4522 - Reconciliation between professional, family and personal life.</w:t>
            </w:r>
          </w:p>
        </w:tc>
        <w:tc>
          <w:tcPr>
            <w:tcW w:w="1984" w:type="dxa"/>
          </w:tcPr>
          <w:p w14:paraId="527D4E50" w14:textId="0A578DD4" w:rsidR="00D07ED2" w:rsidRPr="00F54C45" w:rsidRDefault="00D07ED2" w:rsidP="004E4A9B">
            <w:pPr>
              <w:spacing w:beforeLines="60" w:before="144" w:afterLines="60" w:after="144" w:line="240" w:lineRule="auto"/>
              <w:jc w:val="left"/>
              <w:rPr>
                <w:bCs/>
                <w:sz w:val="22"/>
                <w:szCs w:val="22"/>
              </w:rPr>
            </w:pPr>
            <w:r w:rsidRPr="00F54C45">
              <w:rPr>
                <w:b/>
                <w:bCs/>
                <w:sz w:val="22"/>
                <w:szCs w:val="22"/>
              </w:rPr>
              <w:t>GTNorma</w:t>
            </w:r>
            <w:r w:rsidRPr="00F54C45">
              <w:rPr>
                <w:bCs/>
                <w:sz w:val="22"/>
                <w:szCs w:val="22"/>
              </w:rPr>
              <w:t>; GDI</w:t>
            </w:r>
          </w:p>
        </w:tc>
        <w:tc>
          <w:tcPr>
            <w:tcW w:w="2125" w:type="dxa"/>
          </w:tcPr>
          <w:p w14:paraId="4A36DD6D" w14:textId="77777777" w:rsidR="00787FB8" w:rsidRPr="00F54C45" w:rsidRDefault="00787FB8" w:rsidP="00787FB8">
            <w:pPr>
              <w:spacing w:beforeLines="60" w:before="144" w:afterLines="60" w:after="144" w:line="240" w:lineRule="auto"/>
              <w:jc w:val="left"/>
              <w:rPr>
                <w:sz w:val="22"/>
                <w:szCs w:val="22"/>
              </w:rPr>
            </w:pPr>
            <w:r w:rsidRPr="00F54C45">
              <w:rPr>
                <w:sz w:val="22"/>
                <w:szCs w:val="22"/>
              </w:rPr>
              <w:t>Questionnaire for listening to relevant stakeholders;</w:t>
            </w:r>
          </w:p>
          <w:p w14:paraId="35D98480" w14:textId="77777777" w:rsidR="00787FB8" w:rsidRPr="00F54C45" w:rsidRDefault="00787FB8" w:rsidP="00787FB8">
            <w:pPr>
              <w:spacing w:beforeLines="60" w:before="144" w:afterLines="60" w:after="144" w:line="240" w:lineRule="auto"/>
              <w:jc w:val="left"/>
              <w:rPr>
                <w:sz w:val="22"/>
                <w:szCs w:val="22"/>
              </w:rPr>
            </w:pPr>
            <w:r w:rsidRPr="00F54C45">
              <w:rPr>
                <w:sz w:val="22"/>
                <w:szCs w:val="22"/>
              </w:rPr>
              <w:t>No. of measures to be implemented;</w:t>
            </w:r>
          </w:p>
          <w:p w14:paraId="2C3221F7" w14:textId="74BCFD89" w:rsidR="00D07ED2" w:rsidRPr="00F54C45" w:rsidRDefault="00787FB8" w:rsidP="00787FB8">
            <w:pPr>
              <w:spacing w:beforeLines="60" w:before="144" w:afterLines="60" w:after="144" w:line="240" w:lineRule="auto"/>
              <w:jc w:val="left"/>
              <w:rPr>
                <w:b/>
                <w:sz w:val="22"/>
                <w:szCs w:val="22"/>
                <w:lang w:val="pt-PT"/>
              </w:rPr>
            </w:pPr>
            <w:r w:rsidRPr="00F54C45">
              <w:rPr>
                <w:sz w:val="22"/>
                <w:szCs w:val="22"/>
                <w:lang w:val="pt-PT"/>
              </w:rPr>
              <w:t>Questionnaire to assess satisfaction.</w:t>
            </w:r>
          </w:p>
        </w:tc>
        <w:tc>
          <w:tcPr>
            <w:tcW w:w="722" w:type="dxa"/>
            <w:gridSpan w:val="2"/>
          </w:tcPr>
          <w:p w14:paraId="1A4DBE79" w14:textId="77777777" w:rsidR="00D07ED2" w:rsidRPr="00F54C45" w:rsidRDefault="00D07ED2" w:rsidP="005A05C0">
            <w:pPr>
              <w:spacing w:beforeLines="60" w:before="144" w:afterLines="60" w:after="144" w:line="240" w:lineRule="auto"/>
              <w:jc w:val="center"/>
              <w:rPr>
                <w:sz w:val="22"/>
                <w:szCs w:val="22"/>
                <w:lang w:val="pt-PT"/>
              </w:rPr>
            </w:pPr>
          </w:p>
        </w:tc>
        <w:tc>
          <w:tcPr>
            <w:tcW w:w="696" w:type="dxa"/>
          </w:tcPr>
          <w:p w14:paraId="3390F536" w14:textId="1498F9C6" w:rsidR="00D07ED2" w:rsidRPr="00F54C45" w:rsidRDefault="00D07ED2" w:rsidP="005A05C0">
            <w:pPr>
              <w:spacing w:beforeLines="60" w:before="144" w:afterLines="60" w:after="144" w:line="240" w:lineRule="auto"/>
              <w:jc w:val="center"/>
              <w:rPr>
                <w:sz w:val="22"/>
                <w:szCs w:val="22"/>
              </w:rPr>
            </w:pPr>
            <w:r w:rsidRPr="00F54C45">
              <w:rPr>
                <w:sz w:val="22"/>
                <w:szCs w:val="22"/>
              </w:rPr>
              <w:t>x</w:t>
            </w:r>
          </w:p>
        </w:tc>
        <w:tc>
          <w:tcPr>
            <w:tcW w:w="714" w:type="dxa"/>
          </w:tcPr>
          <w:p w14:paraId="5B1BD682" w14:textId="77777777" w:rsidR="00D07ED2" w:rsidRPr="00F54C45" w:rsidRDefault="00D07ED2" w:rsidP="005A05C0">
            <w:pPr>
              <w:spacing w:beforeLines="60" w:before="144" w:afterLines="60" w:after="144" w:line="240" w:lineRule="auto"/>
              <w:jc w:val="center"/>
              <w:rPr>
                <w:sz w:val="22"/>
                <w:szCs w:val="22"/>
              </w:rPr>
            </w:pPr>
          </w:p>
        </w:tc>
        <w:tc>
          <w:tcPr>
            <w:tcW w:w="2850" w:type="dxa"/>
            <w:gridSpan w:val="2"/>
          </w:tcPr>
          <w:p w14:paraId="695F0865" w14:textId="77777777" w:rsidR="00787FB8" w:rsidRPr="00F54C45" w:rsidRDefault="00787FB8" w:rsidP="00787FB8">
            <w:pPr>
              <w:spacing w:beforeLines="60" w:before="144" w:afterLines="60" w:after="144" w:line="240" w:lineRule="auto"/>
              <w:jc w:val="left"/>
              <w:rPr>
                <w:sz w:val="22"/>
                <w:szCs w:val="22"/>
              </w:rPr>
            </w:pPr>
            <w:r w:rsidRPr="00F54C45">
              <w:rPr>
                <w:sz w:val="22"/>
                <w:szCs w:val="22"/>
              </w:rPr>
              <w:t xml:space="preserve">1 reconciliation management system by the end of 2023 </w:t>
            </w:r>
          </w:p>
          <w:p w14:paraId="5601146A" w14:textId="7DD20C3D" w:rsidR="00D07ED2" w:rsidRPr="00F54C45" w:rsidRDefault="00787FB8" w:rsidP="00787FB8">
            <w:pPr>
              <w:spacing w:beforeLines="60" w:before="144" w:afterLines="60" w:after="144" w:line="240" w:lineRule="auto"/>
              <w:jc w:val="left"/>
              <w:rPr>
                <w:sz w:val="22"/>
                <w:szCs w:val="22"/>
              </w:rPr>
            </w:pPr>
            <w:r w:rsidRPr="00F54C45">
              <w:rPr>
                <w:sz w:val="22"/>
                <w:szCs w:val="22"/>
              </w:rPr>
              <w:t>Increase the level of satisfaction of relevant stakeholders by 40%</w:t>
            </w:r>
          </w:p>
        </w:tc>
      </w:tr>
      <w:tr w:rsidR="005E3D16" w:rsidRPr="00F54C45" w14:paraId="5B79AC70" w14:textId="77777777" w:rsidTr="001066B2">
        <w:trPr>
          <w:cantSplit/>
        </w:trPr>
        <w:tc>
          <w:tcPr>
            <w:tcW w:w="2120" w:type="dxa"/>
            <w:vMerge/>
          </w:tcPr>
          <w:p w14:paraId="30108941" w14:textId="77777777" w:rsidR="00AC6B87" w:rsidRPr="00F54C45" w:rsidRDefault="00AC6B87" w:rsidP="004E4A9B">
            <w:pPr>
              <w:spacing w:beforeLines="60" w:before="144" w:afterLines="60" w:after="144" w:line="240" w:lineRule="auto"/>
              <w:jc w:val="left"/>
              <w:rPr>
                <w:sz w:val="22"/>
                <w:szCs w:val="22"/>
              </w:rPr>
            </w:pPr>
          </w:p>
        </w:tc>
        <w:tc>
          <w:tcPr>
            <w:tcW w:w="3230" w:type="dxa"/>
          </w:tcPr>
          <w:p w14:paraId="056E509E" w14:textId="55CB1019" w:rsidR="00AC6B87" w:rsidRPr="00F54C45" w:rsidRDefault="0029605C" w:rsidP="004E4A9B">
            <w:pPr>
              <w:spacing w:beforeLines="60" w:before="144" w:afterLines="60" w:after="144" w:line="240" w:lineRule="auto"/>
              <w:jc w:val="left"/>
              <w:rPr>
                <w:sz w:val="22"/>
                <w:szCs w:val="22"/>
              </w:rPr>
            </w:pPr>
            <w:r w:rsidRPr="00F54C45">
              <w:rPr>
                <w:sz w:val="22"/>
                <w:szCs w:val="22"/>
              </w:rPr>
              <w:t xml:space="preserve">29. </w:t>
            </w:r>
            <w:r w:rsidR="00787FB8" w:rsidRPr="00F54C45">
              <w:rPr>
                <w:sz w:val="22"/>
                <w:szCs w:val="22"/>
              </w:rPr>
              <w:t xml:space="preserve">Certification </w:t>
            </w:r>
            <w:r w:rsidR="00787FB8" w:rsidRPr="00F54C45">
              <w:rPr>
                <w:sz w:val="22"/>
                <w:szCs w:val="22"/>
              </w:rPr>
              <w:t>Rec</w:t>
            </w:r>
            <w:r w:rsidR="00787FB8" w:rsidRPr="00F54C45">
              <w:rPr>
                <w:sz w:val="22"/>
                <w:szCs w:val="22"/>
              </w:rPr>
              <w:t xml:space="preserve">onciliation Management System - CMS) - NP-4552 - Management system for </w:t>
            </w:r>
            <w:r w:rsidR="00787FB8" w:rsidRPr="00F54C45">
              <w:rPr>
                <w:sz w:val="22"/>
                <w:szCs w:val="22"/>
              </w:rPr>
              <w:t>re</w:t>
            </w:r>
            <w:r w:rsidR="00787FB8" w:rsidRPr="00F54C45">
              <w:rPr>
                <w:sz w:val="22"/>
                <w:szCs w:val="22"/>
              </w:rPr>
              <w:t>conciliation between professional, family and personal life</w:t>
            </w:r>
          </w:p>
        </w:tc>
        <w:tc>
          <w:tcPr>
            <w:tcW w:w="1984" w:type="dxa"/>
          </w:tcPr>
          <w:p w14:paraId="7417743E" w14:textId="5FA4566F" w:rsidR="00AC6B87" w:rsidRPr="00F54C45" w:rsidRDefault="00D07ED2" w:rsidP="004E4A9B">
            <w:pPr>
              <w:spacing w:beforeLines="60" w:before="144" w:afterLines="60" w:after="144" w:line="240" w:lineRule="auto"/>
              <w:jc w:val="left"/>
              <w:rPr>
                <w:bCs/>
                <w:sz w:val="22"/>
                <w:szCs w:val="22"/>
              </w:rPr>
            </w:pPr>
            <w:r w:rsidRPr="00F54C45">
              <w:rPr>
                <w:b/>
                <w:bCs/>
                <w:sz w:val="22"/>
                <w:szCs w:val="22"/>
              </w:rPr>
              <w:t>GTNorma</w:t>
            </w:r>
            <w:r w:rsidRPr="00F54C45">
              <w:rPr>
                <w:bCs/>
                <w:sz w:val="22"/>
                <w:szCs w:val="22"/>
              </w:rPr>
              <w:t>; GDI</w:t>
            </w:r>
          </w:p>
        </w:tc>
        <w:tc>
          <w:tcPr>
            <w:tcW w:w="2125" w:type="dxa"/>
          </w:tcPr>
          <w:p w14:paraId="42D36D3A" w14:textId="4B0F0DF3" w:rsidR="00AC6B87" w:rsidRPr="00F54C45" w:rsidRDefault="00787FB8" w:rsidP="004E4A9B">
            <w:pPr>
              <w:spacing w:beforeLines="60" w:before="144" w:afterLines="60" w:after="144" w:line="240" w:lineRule="auto"/>
              <w:jc w:val="left"/>
              <w:rPr>
                <w:sz w:val="22"/>
                <w:szCs w:val="22"/>
              </w:rPr>
            </w:pPr>
            <w:r w:rsidRPr="00F54C45">
              <w:rPr>
                <w:sz w:val="22"/>
                <w:szCs w:val="22"/>
              </w:rPr>
              <w:t>Certified Management System for Conciliation between professional, family and personal life.</w:t>
            </w:r>
          </w:p>
        </w:tc>
        <w:tc>
          <w:tcPr>
            <w:tcW w:w="722" w:type="dxa"/>
            <w:gridSpan w:val="2"/>
          </w:tcPr>
          <w:p w14:paraId="441229E7" w14:textId="77777777" w:rsidR="00AC6B87" w:rsidRPr="00F54C45" w:rsidRDefault="00AC6B87" w:rsidP="005A05C0">
            <w:pPr>
              <w:spacing w:beforeLines="60" w:before="144" w:afterLines="60" w:after="144" w:line="240" w:lineRule="auto"/>
              <w:jc w:val="center"/>
              <w:rPr>
                <w:sz w:val="22"/>
                <w:szCs w:val="22"/>
              </w:rPr>
            </w:pPr>
          </w:p>
        </w:tc>
        <w:tc>
          <w:tcPr>
            <w:tcW w:w="696" w:type="dxa"/>
          </w:tcPr>
          <w:p w14:paraId="07DE68F9" w14:textId="6EE12025" w:rsidR="00AC6B87" w:rsidRPr="00F54C45" w:rsidRDefault="00D07ED2" w:rsidP="005A05C0">
            <w:pPr>
              <w:spacing w:beforeLines="60" w:before="144" w:afterLines="60" w:after="144" w:line="240" w:lineRule="auto"/>
              <w:jc w:val="center"/>
              <w:rPr>
                <w:sz w:val="22"/>
                <w:szCs w:val="22"/>
              </w:rPr>
            </w:pPr>
            <w:r w:rsidRPr="00F54C45">
              <w:rPr>
                <w:sz w:val="22"/>
                <w:szCs w:val="22"/>
              </w:rPr>
              <w:t>x</w:t>
            </w:r>
          </w:p>
        </w:tc>
        <w:tc>
          <w:tcPr>
            <w:tcW w:w="714" w:type="dxa"/>
          </w:tcPr>
          <w:p w14:paraId="7A6DDB11" w14:textId="77777777" w:rsidR="00AC6B87" w:rsidRPr="00F54C45" w:rsidRDefault="00AC6B87" w:rsidP="005A05C0">
            <w:pPr>
              <w:spacing w:beforeLines="60" w:before="144" w:afterLines="60" w:after="144" w:line="240" w:lineRule="auto"/>
              <w:jc w:val="center"/>
              <w:rPr>
                <w:sz w:val="22"/>
                <w:szCs w:val="22"/>
              </w:rPr>
            </w:pPr>
          </w:p>
        </w:tc>
        <w:tc>
          <w:tcPr>
            <w:tcW w:w="2850" w:type="dxa"/>
            <w:gridSpan w:val="2"/>
          </w:tcPr>
          <w:p w14:paraId="637A075F" w14:textId="6DEAFB97" w:rsidR="00AC6B87" w:rsidRPr="00F54C45" w:rsidRDefault="00787FB8" w:rsidP="004E4A9B">
            <w:pPr>
              <w:spacing w:beforeLines="60" w:before="144" w:afterLines="60" w:after="144" w:line="240" w:lineRule="auto"/>
              <w:jc w:val="left"/>
              <w:rPr>
                <w:sz w:val="22"/>
                <w:szCs w:val="22"/>
              </w:rPr>
            </w:pPr>
            <w:r w:rsidRPr="00F54C45">
              <w:rPr>
                <w:sz w:val="22"/>
                <w:szCs w:val="22"/>
              </w:rPr>
              <w:t>SGC d- IPT Certification - NP-4552 - until the end of 2023</w:t>
            </w:r>
          </w:p>
        </w:tc>
      </w:tr>
    </w:tbl>
    <w:p w14:paraId="263948C9" w14:textId="590F0E52" w:rsidR="00967C9E" w:rsidRPr="00F54C45" w:rsidRDefault="00967C9E" w:rsidP="006C1EF2"/>
    <w:p w14:paraId="4C8EE0E8" w14:textId="77777777" w:rsidR="00212173" w:rsidRPr="00F54C45" w:rsidRDefault="00212173" w:rsidP="006C1EF2"/>
    <w:p w14:paraId="1A696B89" w14:textId="70B78C51" w:rsidR="00BF3780" w:rsidRPr="00F54C45" w:rsidRDefault="00BF3780" w:rsidP="006C1EF2">
      <w:pPr>
        <w:sectPr w:rsidR="00BF3780" w:rsidRPr="00F54C45" w:rsidSect="009B03D0">
          <w:pgSz w:w="16838" w:h="11906" w:orient="landscape"/>
          <w:pgMar w:top="1134" w:right="1418" w:bottom="1134" w:left="1418" w:header="709" w:footer="709" w:gutter="0"/>
          <w:cols w:space="708"/>
          <w:docGrid w:linePitch="360"/>
        </w:sectPr>
      </w:pPr>
    </w:p>
    <w:p w14:paraId="054A8883" w14:textId="77777777" w:rsidR="00241ADA" w:rsidRPr="00F54C45" w:rsidRDefault="00241ADA" w:rsidP="00241ADA">
      <w:pPr>
        <w:jc w:val="right"/>
        <w:rPr>
          <w:rFonts w:asciiTheme="majorHAnsi" w:eastAsiaTheme="majorEastAsia" w:hAnsiTheme="majorHAnsi" w:cstheme="majorBidi"/>
          <w:b/>
          <w:bCs/>
          <w:sz w:val="40"/>
          <w:szCs w:val="40"/>
          <w:lang w:val="pt-PT"/>
        </w:rPr>
      </w:pPr>
      <w:r w:rsidRPr="00F54C45">
        <w:rPr>
          <w:rFonts w:asciiTheme="majorHAnsi" w:eastAsiaTheme="majorEastAsia" w:hAnsiTheme="majorHAnsi" w:cstheme="majorBidi"/>
          <w:b/>
          <w:bCs/>
          <w:sz w:val="40"/>
          <w:szCs w:val="40"/>
          <w:lang w:val="pt-PT"/>
        </w:rPr>
        <w:lastRenderedPageBreak/>
        <w:t>Final remark</w:t>
      </w:r>
    </w:p>
    <w:p w14:paraId="2AEC41E9" w14:textId="52B98669" w:rsidR="00241ADA" w:rsidRPr="00F54C45" w:rsidRDefault="00241ADA" w:rsidP="00C3759C">
      <w:r w:rsidRPr="00F54C45">
        <w:t xml:space="preserve">The IPT's Plan for Gender Equality, Inclusion and Diversity was drawn up by the Diversity and Inclusion Working Group and involved several services, already mentioned, as well as </w:t>
      </w:r>
      <w:r w:rsidR="00F54C45" w:rsidRPr="00F54C45">
        <w:t>faculty</w:t>
      </w:r>
      <w:r w:rsidRPr="00F54C45">
        <w:t>, researchers and administrative and technical staf</w:t>
      </w:r>
      <w:r w:rsidR="00F54C45" w:rsidRPr="00F54C45">
        <w:t>f</w:t>
      </w:r>
      <w:r w:rsidRPr="00F54C45">
        <w:t xml:space="preserve"> who collaborated in the preparation of the diagnos</w:t>
      </w:r>
      <w:r w:rsidR="00F54C45" w:rsidRPr="00F54C45">
        <w:t>tic</w:t>
      </w:r>
      <w:r w:rsidRPr="00F54C45">
        <w:t xml:space="preserve"> and plan, directly or indirectly.</w:t>
      </w:r>
    </w:p>
    <w:p w14:paraId="3571F2EF" w14:textId="3CC73849" w:rsidR="00C83936" w:rsidRPr="00F54C45" w:rsidRDefault="00241ADA" w:rsidP="00C3759C">
      <w:r w:rsidRPr="00F54C45">
        <w:t xml:space="preserve">In order to involve the whole IPT Community, the plan proposal was publicly presented on </w:t>
      </w:r>
      <w:r w:rsidR="00F54C45" w:rsidRPr="00F54C45">
        <w:t>December 10th 2021</w:t>
      </w:r>
      <w:r w:rsidR="00BE6A6B">
        <w:t xml:space="preserve"> -</w:t>
      </w:r>
      <w:r w:rsidR="00F54C45" w:rsidRPr="00F54C45">
        <w:t xml:space="preserve"> International Human Rights Day</w:t>
      </w:r>
      <w:r w:rsidR="00BE6A6B">
        <w:t xml:space="preserve"> -</w:t>
      </w:r>
      <w:bookmarkStart w:id="11" w:name="_GoBack"/>
      <w:bookmarkEnd w:id="11"/>
      <w:r w:rsidR="00F54C45" w:rsidRPr="00F54C45">
        <w:t xml:space="preserve"> </w:t>
      </w:r>
      <w:r w:rsidRPr="00F54C45">
        <w:t>and it was later made available for consultation and collection of contributions on the IPT website.</w:t>
      </w:r>
    </w:p>
    <w:p w14:paraId="35A1DE96" w14:textId="094A9875" w:rsidR="00241ADA" w:rsidRPr="00F54C45" w:rsidRDefault="00241ADA" w:rsidP="00C3759C">
      <w:r w:rsidRPr="00F54C45">
        <w:t xml:space="preserve">The IPT </w:t>
      </w:r>
      <w:r w:rsidRPr="00F54C45">
        <w:t>is</w:t>
      </w:r>
      <w:r w:rsidRPr="00F54C45">
        <w:t xml:space="preserve"> committed to </w:t>
      </w:r>
      <w:r w:rsidRPr="00F54C45">
        <w:t>implement</w:t>
      </w:r>
      <w:r w:rsidRPr="00F54C45">
        <w:t xml:space="preserve"> </w:t>
      </w:r>
      <w:r w:rsidRPr="00F54C45">
        <w:t xml:space="preserve">this action plan aiming at </w:t>
      </w:r>
      <w:r w:rsidRPr="00F54C45">
        <w:t>contribut</w:t>
      </w:r>
      <w:r w:rsidRPr="00F54C45">
        <w:t>ing</w:t>
      </w:r>
      <w:r w:rsidRPr="00F54C45">
        <w:t xml:space="preserve"> to an effective gender equality, fight inequalities, promote inclusion and value differences in our Community</w:t>
      </w:r>
      <w:r w:rsidRPr="00F54C45">
        <w:t xml:space="preserve"> within the next three years</w:t>
      </w:r>
      <w:r w:rsidRPr="00F54C45">
        <w:t>.</w:t>
      </w:r>
    </w:p>
    <w:p w14:paraId="75B019F4" w14:textId="1126555D" w:rsidR="00241ADA" w:rsidRPr="00F54C45" w:rsidRDefault="00241ADA" w:rsidP="00C3759C">
      <w:r w:rsidRPr="00F54C45">
        <w:t xml:space="preserve">The IPT also intends </w:t>
      </w:r>
      <w:r w:rsidRPr="00F54C45">
        <w:t>to take small steps towards</w:t>
      </w:r>
      <w:r w:rsidRPr="00F54C45">
        <w:t xml:space="preserve"> achiev</w:t>
      </w:r>
      <w:r w:rsidRPr="00F54C45">
        <w:t>ing</w:t>
      </w:r>
      <w:r w:rsidRPr="00F54C45">
        <w:t xml:space="preserve"> the Sustainable Development Goals (SDGs) that act directly in this cause, more specifically SDG 5 (gender equality) and SDG 10 (reduce inequalities).</w:t>
      </w:r>
    </w:p>
    <w:p w14:paraId="1327E10A" w14:textId="7E062F57" w:rsidR="00BF3780" w:rsidRPr="00F54C45" w:rsidRDefault="00694673" w:rsidP="00BF3780">
      <w:r w:rsidRPr="00F54C45">
        <w:t>It is now up to the IPT community and to each one individually to understand the importance of this theme and contribute to promote gender equality, inclusion and diversity!</w:t>
      </w:r>
    </w:p>
    <w:p w14:paraId="1A037ECD" w14:textId="4E530894" w:rsidR="00694673" w:rsidRPr="00F54C45" w:rsidRDefault="00694673" w:rsidP="00485FAC">
      <w:pPr>
        <w:pStyle w:val="SemEspaamento"/>
      </w:pPr>
      <w:r w:rsidRPr="00F54C45">
        <w:t xml:space="preserve">This Plan </w:t>
      </w:r>
      <w:r w:rsidR="00F54C45" w:rsidRPr="00F54C45">
        <w:t>is intended</w:t>
      </w:r>
      <w:r w:rsidRPr="00F54C45">
        <w:t xml:space="preserve"> to take the first step</w:t>
      </w:r>
      <w:r w:rsidR="00F54C45" w:rsidRPr="00F54C45">
        <w:t>s</w:t>
      </w:r>
      <w:r w:rsidRPr="00F54C45">
        <w:t xml:space="preserve"> in this direction.</w:t>
      </w:r>
    </w:p>
    <w:p w14:paraId="64956502" w14:textId="77777777" w:rsidR="0058730F" w:rsidRPr="00F54C45" w:rsidRDefault="0058730F" w:rsidP="006C1EF2">
      <w:r w:rsidRPr="00F54C45">
        <w:br w:type="page"/>
      </w:r>
    </w:p>
    <w:p w14:paraId="31A54911" w14:textId="4AD3991A" w:rsidR="00212173" w:rsidRPr="00F54C45" w:rsidRDefault="00212173" w:rsidP="006C1EF2"/>
    <w:p w14:paraId="1BC2014B" w14:textId="41479AA2" w:rsidR="0058730F" w:rsidRPr="00F54C45" w:rsidRDefault="0058730F" w:rsidP="006C1EF2"/>
    <w:p w14:paraId="2CE2DEC3" w14:textId="4B6B7E9B" w:rsidR="00212173" w:rsidRPr="00C676E9" w:rsidRDefault="0058730F" w:rsidP="006C1EF2">
      <w:r w:rsidRPr="00F54C45">
        <w:rPr>
          <w:noProof/>
        </w:rPr>
        <w:drawing>
          <wp:inline distT="0" distB="0" distL="0" distR="0" wp14:anchorId="564858BF" wp14:editId="153D1755">
            <wp:extent cx="5400040" cy="7635370"/>
            <wp:effectExtent l="0" t="0" r="0" b="3810"/>
            <wp:docPr id="2" name="Imagem 2" descr="Uma imagem com texto, cartão-de-visita, gráficos de vetor, ClipArt&#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Uma imagem com texto, cartão-de-visita, gráficos de vetor, ClipArt&#10;&#10;Descrição gerada automaticament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00040" cy="7635370"/>
                    </a:xfrm>
                    <a:prstGeom prst="rect">
                      <a:avLst/>
                    </a:prstGeom>
                  </pic:spPr>
                </pic:pic>
              </a:graphicData>
            </a:graphic>
          </wp:inline>
        </w:drawing>
      </w:r>
    </w:p>
    <w:sectPr w:rsidR="00212173" w:rsidRPr="00C676E9" w:rsidSect="0021217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58E381" w14:textId="77777777" w:rsidR="00501A15" w:rsidRDefault="00501A15" w:rsidP="006C1EF2">
      <w:r>
        <w:separator/>
      </w:r>
    </w:p>
  </w:endnote>
  <w:endnote w:type="continuationSeparator" w:id="0">
    <w:p w14:paraId="163905A3" w14:textId="77777777" w:rsidR="00501A15" w:rsidRDefault="00501A15" w:rsidP="006C1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5698748"/>
      <w:docPartObj>
        <w:docPartGallery w:val="Page Numbers (Bottom of Page)"/>
        <w:docPartUnique/>
      </w:docPartObj>
    </w:sdtPr>
    <w:sdtEndPr>
      <w:rPr>
        <w:sz w:val="22"/>
        <w:szCs w:val="22"/>
      </w:rPr>
    </w:sdtEndPr>
    <w:sdtContent>
      <w:p w14:paraId="0DDC505C" w14:textId="276C7CCA" w:rsidR="001D393A" w:rsidRPr="006C1EF2" w:rsidRDefault="001D393A" w:rsidP="006C1EF2">
        <w:pPr>
          <w:pStyle w:val="numeroPagina"/>
          <w:jc w:val="center"/>
          <w:rPr>
            <w:sz w:val="22"/>
            <w:szCs w:val="22"/>
          </w:rPr>
        </w:pPr>
        <w:r>
          <w:rPr>
            <w:sz w:val="22"/>
            <w:szCs w:val="22"/>
          </w:rPr>
          <w:t xml:space="preserve">– </w:t>
        </w:r>
        <w:r w:rsidRPr="006C1EF2">
          <w:rPr>
            <w:sz w:val="22"/>
            <w:szCs w:val="22"/>
          </w:rPr>
          <w:fldChar w:fldCharType="begin"/>
        </w:r>
        <w:r w:rsidRPr="006C1EF2">
          <w:rPr>
            <w:sz w:val="22"/>
            <w:szCs w:val="22"/>
          </w:rPr>
          <w:instrText>PAGE   \* MERGEFORMAT</w:instrText>
        </w:r>
        <w:r w:rsidRPr="006C1EF2">
          <w:rPr>
            <w:sz w:val="22"/>
            <w:szCs w:val="22"/>
          </w:rPr>
          <w:fldChar w:fldCharType="separate"/>
        </w:r>
        <w:r w:rsidRPr="006C1EF2">
          <w:rPr>
            <w:sz w:val="22"/>
            <w:szCs w:val="22"/>
          </w:rPr>
          <w:t>2</w:t>
        </w:r>
        <w:r w:rsidRPr="006C1EF2">
          <w:rPr>
            <w:sz w:val="22"/>
            <w:szCs w:val="22"/>
          </w:rPr>
          <w:fldChar w:fldCharType="end"/>
        </w:r>
        <w:r>
          <w:rPr>
            <w:sz w:val="22"/>
            <w:szCs w:val="22"/>
          </w:rPr>
          <w:t xml:space="preserve"> –</w:t>
        </w:r>
      </w:p>
    </w:sdtContent>
  </w:sdt>
  <w:p w14:paraId="4681DFD3" w14:textId="77777777" w:rsidR="001D393A" w:rsidRDefault="001D393A" w:rsidP="006C1EF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17E188" w14:textId="77777777" w:rsidR="00501A15" w:rsidRDefault="00501A15" w:rsidP="006C1EF2">
      <w:r>
        <w:separator/>
      </w:r>
    </w:p>
  </w:footnote>
  <w:footnote w:type="continuationSeparator" w:id="0">
    <w:p w14:paraId="5B432082" w14:textId="77777777" w:rsidR="00501A15" w:rsidRDefault="00501A15" w:rsidP="006C1EF2">
      <w:r>
        <w:continuationSeparator/>
      </w:r>
    </w:p>
  </w:footnote>
  <w:footnote w:id="1">
    <w:p w14:paraId="3D0D85A6" w14:textId="77777777" w:rsidR="00D73C07" w:rsidRDefault="00D73C07" w:rsidP="00D73C07">
      <w:pPr>
        <w:pStyle w:val="Textodenotaderodap"/>
      </w:pPr>
      <w:r>
        <w:rPr>
          <w:rStyle w:val="Refdenotaderodap"/>
        </w:rPr>
        <w:footnoteRef/>
      </w:r>
      <w:r>
        <w:t xml:space="preserve"> </w:t>
      </w:r>
      <w:r>
        <w:rPr>
          <w:rFonts w:ascii="Courier New" w:hAnsi="Courier New"/>
          <w:sz w:val="18"/>
          <w:szCs w:val="18"/>
        </w:rPr>
        <w:t>https://eige.europa.eu/gender-mainstreaming/toolkits/gear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87B4C" w14:textId="63B9D58D" w:rsidR="001D393A" w:rsidRDefault="001D393A" w:rsidP="006C1EF2">
    <w:pPr>
      <w:pStyle w:val="Cabealho"/>
    </w:pPr>
    <w:r>
      <w:pict w14:anchorId="2D3954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62704" o:spid="_x0000_s2051" type="#_x0000_t136" style="position:absolute;left:0;text-align:left;margin-left:0;margin-top:0;width:470.95pt;height:128.45pt;rotation:315;z-index:-251655168;mso-wrap-edited:f;mso-position-horizontal:center;mso-position-horizontal-relative:margin;mso-position-vertical:center;mso-position-vertical-relative:margin" o:allowincell="f" fillcolor="silver" stroked="f">
          <v:fill opacity=".5"/>
          <v:textpath style="font-family:&quot;Calibri&quot;;font-size:1pt" string="Draft Vers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B87FC" w14:textId="08FEC300" w:rsidR="001D393A" w:rsidRDefault="001D393A" w:rsidP="006C1EF2">
    <w:pPr>
      <w:pStyle w:val="Cabealho"/>
    </w:pPr>
    <w:r>
      <w:pict w14:anchorId="14199F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62703" o:spid="_x0000_s2049" type="#_x0000_t136" style="position:absolute;left:0;text-align:left;margin-left:0;margin-top:0;width:470.95pt;height:128.45pt;rotation:315;z-index:-251657216;mso-wrap-edited:f;mso-position-horizontal:center;mso-position-horizontal-relative:margin;mso-position-vertical:center;mso-position-vertical-relative:margin" o:allowincell="f" fillcolor="silver" stroked="f">
          <v:fill opacity=".5"/>
          <v:textpath style="font-family:&quot;Calibri&quot;;font-size:1pt" string="Draft Vers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D3A5B"/>
    <w:multiLevelType w:val="hybridMultilevel"/>
    <w:tmpl w:val="640802A8"/>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13832D94"/>
    <w:multiLevelType w:val="hybridMultilevel"/>
    <w:tmpl w:val="E952B4D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1AAD0FC2"/>
    <w:multiLevelType w:val="hybridMultilevel"/>
    <w:tmpl w:val="C4DCE3E8"/>
    <w:lvl w:ilvl="0" w:tplc="2F287C86">
      <w:start w:val="6"/>
      <w:numFmt w:val="decimal"/>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3" w15:restartNumberingAfterBreak="0">
    <w:nsid w:val="23617A2C"/>
    <w:multiLevelType w:val="multilevel"/>
    <w:tmpl w:val="865E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432CA5"/>
    <w:multiLevelType w:val="hybridMultilevel"/>
    <w:tmpl w:val="0942AD38"/>
    <w:lvl w:ilvl="0" w:tplc="AD485858">
      <w:start w:val="1"/>
      <w:numFmt w:val="decimal"/>
      <w:pStyle w:val="Estilo1"/>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294C75F0"/>
    <w:multiLevelType w:val="hybridMultilevel"/>
    <w:tmpl w:val="C5DADDB0"/>
    <w:lvl w:ilvl="0" w:tplc="919A5E80">
      <w:start w:val="5"/>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15:restartNumberingAfterBreak="0">
    <w:nsid w:val="2D956636"/>
    <w:multiLevelType w:val="hybridMultilevel"/>
    <w:tmpl w:val="8DD6DA86"/>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15:restartNumberingAfterBreak="0">
    <w:nsid w:val="37841242"/>
    <w:multiLevelType w:val="hybridMultilevel"/>
    <w:tmpl w:val="1D42AF4E"/>
    <w:lvl w:ilvl="0" w:tplc="FFFFFFFF">
      <w:start w:val="1"/>
      <w:numFmt w:val="bullet"/>
      <w:pStyle w:val="Fleche"/>
      <w:lvlText w:val=""/>
      <w:lvlJc w:val="left"/>
      <w:pPr>
        <w:tabs>
          <w:tab w:val="num" w:pos="567"/>
        </w:tabs>
        <w:ind w:left="567" w:hanging="283"/>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D56388"/>
    <w:multiLevelType w:val="hybridMultilevel"/>
    <w:tmpl w:val="4F9EAEA0"/>
    <w:lvl w:ilvl="0" w:tplc="FF2A7F48">
      <w:start w:val="1"/>
      <w:numFmt w:val="decimal"/>
      <w:pStyle w:val="Estilo2"/>
      <w:lvlText w:val="5.%1"/>
      <w:lvlJc w:val="left"/>
      <w:pPr>
        <w:ind w:left="1428" w:hanging="360"/>
      </w:pPr>
      <w:rPr>
        <w:rFonts w:hint="default"/>
      </w:rPr>
    </w:lvl>
    <w:lvl w:ilvl="1" w:tplc="08160019" w:tentative="1">
      <w:start w:val="1"/>
      <w:numFmt w:val="lowerLetter"/>
      <w:lvlText w:val="%2."/>
      <w:lvlJc w:val="left"/>
      <w:pPr>
        <w:ind w:left="2148" w:hanging="360"/>
      </w:pPr>
    </w:lvl>
    <w:lvl w:ilvl="2" w:tplc="0816001B" w:tentative="1">
      <w:start w:val="1"/>
      <w:numFmt w:val="lowerRoman"/>
      <w:lvlText w:val="%3."/>
      <w:lvlJc w:val="right"/>
      <w:pPr>
        <w:ind w:left="2868" w:hanging="180"/>
      </w:pPr>
    </w:lvl>
    <w:lvl w:ilvl="3" w:tplc="0816000F" w:tentative="1">
      <w:start w:val="1"/>
      <w:numFmt w:val="decimal"/>
      <w:lvlText w:val="%4."/>
      <w:lvlJc w:val="left"/>
      <w:pPr>
        <w:ind w:left="3588" w:hanging="360"/>
      </w:pPr>
    </w:lvl>
    <w:lvl w:ilvl="4" w:tplc="08160019" w:tentative="1">
      <w:start w:val="1"/>
      <w:numFmt w:val="lowerLetter"/>
      <w:lvlText w:val="%5."/>
      <w:lvlJc w:val="left"/>
      <w:pPr>
        <w:ind w:left="4308" w:hanging="360"/>
      </w:pPr>
    </w:lvl>
    <w:lvl w:ilvl="5" w:tplc="0816001B" w:tentative="1">
      <w:start w:val="1"/>
      <w:numFmt w:val="lowerRoman"/>
      <w:lvlText w:val="%6."/>
      <w:lvlJc w:val="right"/>
      <w:pPr>
        <w:ind w:left="5028" w:hanging="180"/>
      </w:pPr>
    </w:lvl>
    <w:lvl w:ilvl="6" w:tplc="0816000F" w:tentative="1">
      <w:start w:val="1"/>
      <w:numFmt w:val="decimal"/>
      <w:lvlText w:val="%7."/>
      <w:lvlJc w:val="left"/>
      <w:pPr>
        <w:ind w:left="5748" w:hanging="360"/>
      </w:pPr>
    </w:lvl>
    <w:lvl w:ilvl="7" w:tplc="08160019" w:tentative="1">
      <w:start w:val="1"/>
      <w:numFmt w:val="lowerLetter"/>
      <w:lvlText w:val="%8."/>
      <w:lvlJc w:val="left"/>
      <w:pPr>
        <w:ind w:left="6468" w:hanging="360"/>
      </w:pPr>
    </w:lvl>
    <w:lvl w:ilvl="8" w:tplc="0816001B" w:tentative="1">
      <w:start w:val="1"/>
      <w:numFmt w:val="lowerRoman"/>
      <w:lvlText w:val="%9."/>
      <w:lvlJc w:val="right"/>
      <w:pPr>
        <w:ind w:left="7188" w:hanging="180"/>
      </w:pPr>
    </w:lvl>
  </w:abstractNum>
  <w:abstractNum w:abstractNumId="9" w15:restartNumberingAfterBreak="0">
    <w:nsid w:val="3A910F2E"/>
    <w:multiLevelType w:val="multilevel"/>
    <w:tmpl w:val="D11235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3D9E1B24"/>
    <w:multiLevelType w:val="hybridMultilevel"/>
    <w:tmpl w:val="1FDE0C1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15:restartNumberingAfterBreak="0">
    <w:nsid w:val="47746FD1"/>
    <w:multiLevelType w:val="hybridMultilevel"/>
    <w:tmpl w:val="DB98EDBA"/>
    <w:lvl w:ilvl="0" w:tplc="08160001">
      <w:start w:val="1"/>
      <w:numFmt w:val="bullet"/>
      <w:lvlText w:val=""/>
      <w:lvlJc w:val="left"/>
      <w:pPr>
        <w:ind w:left="720" w:hanging="360"/>
      </w:pPr>
      <w:rPr>
        <w:rFonts w:ascii="Symbol" w:hAnsi="Symbol" w:hint="default"/>
      </w:rPr>
    </w:lvl>
    <w:lvl w:ilvl="1" w:tplc="AF3C11E2">
      <w:numFmt w:val="bullet"/>
      <w:lvlText w:val="-"/>
      <w:lvlJc w:val="left"/>
      <w:pPr>
        <w:ind w:left="1440" w:hanging="360"/>
      </w:pPr>
      <w:rPr>
        <w:rFonts w:ascii="Calibri" w:eastAsiaTheme="minorHAnsi" w:hAnsi="Calibri" w:cstheme="minorHAnsi"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2" w15:restartNumberingAfterBreak="0">
    <w:nsid w:val="481503E9"/>
    <w:multiLevelType w:val="hybridMultilevel"/>
    <w:tmpl w:val="35927B48"/>
    <w:lvl w:ilvl="0" w:tplc="C13C8D38">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3" w15:restartNumberingAfterBreak="0">
    <w:nsid w:val="4D546800"/>
    <w:multiLevelType w:val="hybridMultilevel"/>
    <w:tmpl w:val="9CE8DCC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15:restartNumberingAfterBreak="0">
    <w:nsid w:val="50272415"/>
    <w:multiLevelType w:val="hybridMultilevel"/>
    <w:tmpl w:val="89A4C06C"/>
    <w:lvl w:ilvl="0" w:tplc="C220C844">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15:restartNumberingAfterBreak="0">
    <w:nsid w:val="5C4628D0"/>
    <w:multiLevelType w:val="hybridMultilevel"/>
    <w:tmpl w:val="C2DC2BB6"/>
    <w:lvl w:ilvl="0" w:tplc="573610AA">
      <w:start w:val="6"/>
      <w:numFmt w:val="decimal"/>
      <w:lvlText w:val="%1-"/>
      <w:lvlJc w:val="left"/>
      <w:pPr>
        <w:ind w:left="744" w:hanging="360"/>
      </w:pPr>
      <w:rPr>
        <w:rFonts w:hint="default"/>
      </w:rPr>
    </w:lvl>
    <w:lvl w:ilvl="1" w:tplc="08160019" w:tentative="1">
      <w:start w:val="1"/>
      <w:numFmt w:val="lowerLetter"/>
      <w:lvlText w:val="%2."/>
      <w:lvlJc w:val="left"/>
      <w:pPr>
        <w:ind w:left="1464" w:hanging="360"/>
      </w:pPr>
    </w:lvl>
    <w:lvl w:ilvl="2" w:tplc="0816001B" w:tentative="1">
      <w:start w:val="1"/>
      <w:numFmt w:val="lowerRoman"/>
      <w:lvlText w:val="%3."/>
      <w:lvlJc w:val="right"/>
      <w:pPr>
        <w:ind w:left="2184" w:hanging="180"/>
      </w:pPr>
    </w:lvl>
    <w:lvl w:ilvl="3" w:tplc="0816000F" w:tentative="1">
      <w:start w:val="1"/>
      <w:numFmt w:val="decimal"/>
      <w:lvlText w:val="%4."/>
      <w:lvlJc w:val="left"/>
      <w:pPr>
        <w:ind w:left="2904" w:hanging="360"/>
      </w:pPr>
    </w:lvl>
    <w:lvl w:ilvl="4" w:tplc="08160019" w:tentative="1">
      <w:start w:val="1"/>
      <w:numFmt w:val="lowerLetter"/>
      <w:lvlText w:val="%5."/>
      <w:lvlJc w:val="left"/>
      <w:pPr>
        <w:ind w:left="3624" w:hanging="360"/>
      </w:pPr>
    </w:lvl>
    <w:lvl w:ilvl="5" w:tplc="0816001B" w:tentative="1">
      <w:start w:val="1"/>
      <w:numFmt w:val="lowerRoman"/>
      <w:lvlText w:val="%6."/>
      <w:lvlJc w:val="right"/>
      <w:pPr>
        <w:ind w:left="4344" w:hanging="180"/>
      </w:pPr>
    </w:lvl>
    <w:lvl w:ilvl="6" w:tplc="0816000F" w:tentative="1">
      <w:start w:val="1"/>
      <w:numFmt w:val="decimal"/>
      <w:lvlText w:val="%7."/>
      <w:lvlJc w:val="left"/>
      <w:pPr>
        <w:ind w:left="5064" w:hanging="360"/>
      </w:pPr>
    </w:lvl>
    <w:lvl w:ilvl="7" w:tplc="08160019" w:tentative="1">
      <w:start w:val="1"/>
      <w:numFmt w:val="lowerLetter"/>
      <w:lvlText w:val="%8."/>
      <w:lvlJc w:val="left"/>
      <w:pPr>
        <w:ind w:left="5784" w:hanging="360"/>
      </w:pPr>
    </w:lvl>
    <w:lvl w:ilvl="8" w:tplc="0816001B" w:tentative="1">
      <w:start w:val="1"/>
      <w:numFmt w:val="lowerRoman"/>
      <w:lvlText w:val="%9."/>
      <w:lvlJc w:val="right"/>
      <w:pPr>
        <w:ind w:left="6504" w:hanging="180"/>
      </w:pPr>
    </w:lvl>
  </w:abstractNum>
  <w:abstractNum w:abstractNumId="16" w15:restartNumberingAfterBreak="0">
    <w:nsid w:val="628C5D1D"/>
    <w:multiLevelType w:val="multilevel"/>
    <w:tmpl w:val="B95A6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D838B0"/>
    <w:multiLevelType w:val="multilevel"/>
    <w:tmpl w:val="CD3AD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984C66"/>
    <w:multiLevelType w:val="hybridMultilevel"/>
    <w:tmpl w:val="49F6D320"/>
    <w:lvl w:ilvl="0" w:tplc="C13C8D38">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9" w15:restartNumberingAfterBreak="0">
    <w:nsid w:val="71441505"/>
    <w:multiLevelType w:val="hybridMultilevel"/>
    <w:tmpl w:val="0E2857A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0" w15:restartNumberingAfterBreak="0">
    <w:nsid w:val="74C31CA7"/>
    <w:multiLevelType w:val="hybridMultilevel"/>
    <w:tmpl w:val="A7866CBC"/>
    <w:lvl w:ilvl="0" w:tplc="F20AFADE">
      <w:start w:val="3"/>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1" w15:restartNumberingAfterBreak="0">
    <w:nsid w:val="77C347E6"/>
    <w:multiLevelType w:val="hybridMultilevel"/>
    <w:tmpl w:val="05584BC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2" w15:restartNumberingAfterBreak="0">
    <w:nsid w:val="77DC08CF"/>
    <w:multiLevelType w:val="hybridMultilevel"/>
    <w:tmpl w:val="44B8A04A"/>
    <w:lvl w:ilvl="0" w:tplc="B7D61F54">
      <w:start w:val="1"/>
      <w:numFmt w:val="decimal"/>
      <w:lvlText w:val="%1-"/>
      <w:lvlJc w:val="left"/>
      <w:pPr>
        <w:ind w:left="1065" w:hanging="705"/>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3" w15:restartNumberingAfterBreak="0">
    <w:nsid w:val="785A5C50"/>
    <w:multiLevelType w:val="hybridMultilevel"/>
    <w:tmpl w:val="7AF0BAEC"/>
    <w:lvl w:ilvl="0" w:tplc="712E4FC2">
      <w:start w:val="1"/>
      <w:numFmt w:val="bullet"/>
      <w:lvlText w:val="•"/>
      <w:lvlJc w:val="left"/>
      <w:pPr>
        <w:tabs>
          <w:tab w:val="num" w:pos="720"/>
        </w:tabs>
        <w:ind w:left="720" w:hanging="360"/>
      </w:pPr>
      <w:rPr>
        <w:rFonts w:ascii="Times New Roman" w:hAnsi="Times New Roman" w:hint="default"/>
      </w:rPr>
    </w:lvl>
    <w:lvl w:ilvl="1" w:tplc="1F4876B4" w:tentative="1">
      <w:start w:val="1"/>
      <w:numFmt w:val="bullet"/>
      <w:lvlText w:val="•"/>
      <w:lvlJc w:val="left"/>
      <w:pPr>
        <w:tabs>
          <w:tab w:val="num" w:pos="1440"/>
        </w:tabs>
        <w:ind w:left="1440" w:hanging="360"/>
      </w:pPr>
      <w:rPr>
        <w:rFonts w:ascii="Times New Roman" w:hAnsi="Times New Roman" w:hint="default"/>
      </w:rPr>
    </w:lvl>
    <w:lvl w:ilvl="2" w:tplc="3FE46486" w:tentative="1">
      <w:start w:val="1"/>
      <w:numFmt w:val="bullet"/>
      <w:lvlText w:val="•"/>
      <w:lvlJc w:val="left"/>
      <w:pPr>
        <w:tabs>
          <w:tab w:val="num" w:pos="2160"/>
        </w:tabs>
        <w:ind w:left="2160" w:hanging="360"/>
      </w:pPr>
      <w:rPr>
        <w:rFonts w:ascii="Times New Roman" w:hAnsi="Times New Roman" w:hint="default"/>
      </w:rPr>
    </w:lvl>
    <w:lvl w:ilvl="3" w:tplc="FD6EE840" w:tentative="1">
      <w:start w:val="1"/>
      <w:numFmt w:val="bullet"/>
      <w:lvlText w:val="•"/>
      <w:lvlJc w:val="left"/>
      <w:pPr>
        <w:tabs>
          <w:tab w:val="num" w:pos="2880"/>
        </w:tabs>
        <w:ind w:left="2880" w:hanging="360"/>
      </w:pPr>
      <w:rPr>
        <w:rFonts w:ascii="Times New Roman" w:hAnsi="Times New Roman" w:hint="default"/>
      </w:rPr>
    </w:lvl>
    <w:lvl w:ilvl="4" w:tplc="5DB45A76" w:tentative="1">
      <w:start w:val="1"/>
      <w:numFmt w:val="bullet"/>
      <w:lvlText w:val="•"/>
      <w:lvlJc w:val="left"/>
      <w:pPr>
        <w:tabs>
          <w:tab w:val="num" w:pos="3600"/>
        </w:tabs>
        <w:ind w:left="3600" w:hanging="360"/>
      </w:pPr>
      <w:rPr>
        <w:rFonts w:ascii="Times New Roman" w:hAnsi="Times New Roman" w:hint="default"/>
      </w:rPr>
    </w:lvl>
    <w:lvl w:ilvl="5" w:tplc="E11EE244" w:tentative="1">
      <w:start w:val="1"/>
      <w:numFmt w:val="bullet"/>
      <w:lvlText w:val="•"/>
      <w:lvlJc w:val="left"/>
      <w:pPr>
        <w:tabs>
          <w:tab w:val="num" w:pos="4320"/>
        </w:tabs>
        <w:ind w:left="4320" w:hanging="360"/>
      </w:pPr>
      <w:rPr>
        <w:rFonts w:ascii="Times New Roman" w:hAnsi="Times New Roman" w:hint="default"/>
      </w:rPr>
    </w:lvl>
    <w:lvl w:ilvl="6" w:tplc="0A301A6A" w:tentative="1">
      <w:start w:val="1"/>
      <w:numFmt w:val="bullet"/>
      <w:lvlText w:val="•"/>
      <w:lvlJc w:val="left"/>
      <w:pPr>
        <w:tabs>
          <w:tab w:val="num" w:pos="5040"/>
        </w:tabs>
        <w:ind w:left="5040" w:hanging="360"/>
      </w:pPr>
      <w:rPr>
        <w:rFonts w:ascii="Times New Roman" w:hAnsi="Times New Roman" w:hint="default"/>
      </w:rPr>
    </w:lvl>
    <w:lvl w:ilvl="7" w:tplc="A5E83FAE" w:tentative="1">
      <w:start w:val="1"/>
      <w:numFmt w:val="bullet"/>
      <w:lvlText w:val="•"/>
      <w:lvlJc w:val="left"/>
      <w:pPr>
        <w:tabs>
          <w:tab w:val="num" w:pos="5760"/>
        </w:tabs>
        <w:ind w:left="5760" w:hanging="360"/>
      </w:pPr>
      <w:rPr>
        <w:rFonts w:ascii="Times New Roman" w:hAnsi="Times New Roman" w:hint="default"/>
      </w:rPr>
    </w:lvl>
    <w:lvl w:ilvl="8" w:tplc="76401B5C"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C576182"/>
    <w:multiLevelType w:val="hybridMultilevel"/>
    <w:tmpl w:val="14BE2640"/>
    <w:lvl w:ilvl="0" w:tplc="08160011">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6"/>
  </w:num>
  <w:num w:numId="2">
    <w:abstractNumId w:val="14"/>
  </w:num>
  <w:num w:numId="3">
    <w:abstractNumId w:val="16"/>
  </w:num>
  <w:num w:numId="4">
    <w:abstractNumId w:val="3"/>
  </w:num>
  <w:num w:numId="5">
    <w:abstractNumId w:val="24"/>
  </w:num>
  <w:num w:numId="6">
    <w:abstractNumId w:val="19"/>
  </w:num>
  <w:num w:numId="7">
    <w:abstractNumId w:val="22"/>
  </w:num>
  <w:num w:numId="8">
    <w:abstractNumId w:val="7"/>
  </w:num>
  <w:num w:numId="9">
    <w:abstractNumId w:val="0"/>
  </w:num>
  <w:num w:numId="10">
    <w:abstractNumId w:val="17"/>
  </w:num>
  <w:num w:numId="11">
    <w:abstractNumId w:val="20"/>
  </w:num>
  <w:num w:numId="12">
    <w:abstractNumId w:val="1"/>
  </w:num>
  <w:num w:numId="13">
    <w:abstractNumId w:val="5"/>
  </w:num>
  <w:num w:numId="14">
    <w:abstractNumId w:val="2"/>
  </w:num>
  <w:num w:numId="15">
    <w:abstractNumId w:val="15"/>
  </w:num>
  <w:num w:numId="16">
    <w:abstractNumId w:val="10"/>
  </w:num>
  <w:num w:numId="17">
    <w:abstractNumId w:val="9"/>
  </w:num>
  <w:num w:numId="18">
    <w:abstractNumId w:val="18"/>
  </w:num>
  <w:num w:numId="19">
    <w:abstractNumId w:val="12"/>
  </w:num>
  <w:num w:numId="20">
    <w:abstractNumId w:val="21"/>
  </w:num>
  <w:num w:numId="21">
    <w:abstractNumId w:val="11"/>
  </w:num>
  <w:num w:numId="22">
    <w:abstractNumId w:val="13"/>
  </w:num>
  <w:num w:numId="23">
    <w:abstractNumId w:val="23"/>
  </w:num>
  <w:num w:numId="24">
    <w:abstractNumId w:val="4"/>
  </w:num>
  <w:num w:numId="25">
    <w:abstractNumId w:val="4"/>
  </w:num>
  <w:num w:numId="26">
    <w:abstractNumId w:val="4"/>
  </w:num>
  <w:num w:numId="27">
    <w:abstractNumId w:val="4"/>
  </w:num>
  <w:num w:numId="28">
    <w:abstractNumId w:val="4"/>
  </w:num>
  <w:num w:numId="29">
    <w:abstractNumId w:val="8"/>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D6D"/>
    <w:rsid w:val="00000823"/>
    <w:rsid w:val="0000248D"/>
    <w:rsid w:val="00007844"/>
    <w:rsid w:val="00010A3F"/>
    <w:rsid w:val="00017187"/>
    <w:rsid w:val="00026E6C"/>
    <w:rsid w:val="00027396"/>
    <w:rsid w:val="000330EB"/>
    <w:rsid w:val="00033510"/>
    <w:rsid w:val="00033D68"/>
    <w:rsid w:val="00035838"/>
    <w:rsid w:val="000364BD"/>
    <w:rsid w:val="00043F8E"/>
    <w:rsid w:val="000471DB"/>
    <w:rsid w:val="00051E29"/>
    <w:rsid w:val="0006200D"/>
    <w:rsid w:val="0006368F"/>
    <w:rsid w:val="00064EEB"/>
    <w:rsid w:val="00073B40"/>
    <w:rsid w:val="00073D18"/>
    <w:rsid w:val="00076981"/>
    <w:rsid w:val="000810C2"/>
    <w:rsid w:val="000811ED"/>
    <w:rsid w:val="00081C0F"/>
    <w:rsid w:val="00082F97"/>
    <w:rsid w:val="0008358A"/>
    <w:rsid w:val="0009263C"/>
    <w:rsid w:val="00093306"/>
    <w:rsid w:val="000A14FB"/>
    <w:rsid w:val="000B1DB0"/>
    <w:rsid w:val="000B3038"/>
    <w:rsid w:val="000B4EB8"/>
    <w:rsid w:val="000B586E"/>
    <w:rsid w:val="000B7EA0"/>
    <w:rsid w:val="000C080E"/>
    <w:rsid w:val="000C0C23"/>
    <w:rsid w:val="000C29E7"/>
    <w:rsid w:val="000D23FC"/>
    <w:rsid w:val="000D3908"/>
    <w:rsid w:val="000E4AC4"/>
    <w:rsid w:val="000E4AD4"/>
    <w:rsid w:val="000F1494"/>
    <w:rsid w:val="000F2508"/>
    <w:rsid w:val="00101C68"/>
    <w:rsid w:val="00104C9F"/>
    <w:rsid w:val="001066B2"/>
    <w:rsid w:val="00112F4F"/>
    <w:rsid w:val="0011611F"/>
    <w:rsid w:val="00117680"/>
    <w:rsid w:val="0012528E"/>
    <w:rsid w:val="00127AAE"/>
    <w:rsid w:val="00136763"/>
    <w:rsid w:val="0013742B"/>
    <w:rsid w:val="00150CE5"/>
    <w:rsid w:val="00163071"/>
    <w:rsid w:val="00166E77"/>
    <w:rsid w:val="00173704"/>
    <w:rsid w:val="00174AB1"/>
    <w:rsid w:val="00177885"/>
    <w:rsid w:val="001858B4"/>
    <w:rsid w:val="001908F4"/>
    <w:rsid w:val="00192F61"/>
    <w:rsid w:val="00197331"/>
    <w:rsid w:val="001A4F85"/>
    <w:rsid w:val="001A758C"/>
    <w:rsid w:val="001C0997"/>
    <w:rsid w:val="001C48D4"/>
    <w:rsid w:val="001C4C17"/>
    <w:rsid w:val="001C6DBF"/>
    <w:rsid w:val="001C79F8"/>
    <w:rsid w:val="001D19FC"/>
    <w:rsid w:val="001D2BED"/>
    <w:rsid w:val="001D393A"/>
    <w:rsid w:val="001E6BDC"/>
    <w:rsid w:val="001F5D06"/>
    <w:rsid w:val="001F72C6"/>
    <w:rsid w:val="0020641F"/>
    <w:rsid w:val="0020792A"/>
    <w:rsid w:val="00212173"/>
    <w:rsid w:val="00212801"/>
    <w:rsid w:val="00213E7D"/>
    <w:rsid w:val="00214B32"/>
    <w:rsid w:val="00216DC7"/>
    <w:rsid w:val="00217266"/>
    <w:rsid w:val="002211A0"/>
    <w:rsid w:val="00222FB4"/>
    <w:rsid w:val="00223085"/>
    <w:rsid w:val="00233D31"/>
    <w:rsid w:val="0023797D"/>
    <w:rsid w:val="00241ADA"/>
    <w:rsid w:val="00250149"/>
    <w:rsid w:val="00264972"/>
    <w:rsid w:val="002704F3"/>
    <w:rsid w:val="002717F3"/>
    <w:rsid w:val="00275DFA"/>
    <w:rsid w:val="00282E2F"/>
    <w:rsid w:val="00291BBF"/>
    <w:rsid w:val="0029389F"/>
    <w:rsid w:val="00294236"/>
    <w:rsid w:val="0029605C"/>
    <w:rsid w:val="002A4626"/>
    <w:rsid w:val="002A5C75"/>
    <w:rsid w:val="002B1AFE"/>
    <w:rsid w:val="002B3535"/>
    <w:rsid w:val="002B38AE"/>
    <w:rsid w:val="002C1960"/>
    <w:rsid w:val="002C5B45"/>
    <w:rsid w:val="002D35D7"/>
    <w:rsid w:val="002E3165"/>
    <w:rsid w:val="002E65E1"/>
    <w:rsid w:val="002F4994"/>
    <w:rsid w:val="002F7100"/>
    <w:rsid w:val="00300D65"/>
    <w:rsid w:val="0030211C"/>
    <w:rsid w:val="00307983"/>
    <w:rsid w:val="00310CD0"/>
    <w:rsid w:val="00313C16"/>
    <w:rsid w:val="00313F3D"/>
    <w:rsid w:val="00314C7D"/>
    <w:rsid w:val="00316554"/>
    <w:rsid w:val="00317D09"/>
    <w:rsid w:val="00317FBB"/>
    <w:rsid w:val="00323A71"/>
    <w:rsid w:val="00324724"/>
    <w:rsid w:val="003249CB"/>
    <w:rsid w:val="00325184"/>
    <w:rsid w:val="0033187A"/>
    <w:rsid w:val="00333C42"/>
    <w:rsid w:val="0033560B"/>
    <w:rsid w:val="00344BFB"/>
    <w:rsid w:val="00346A2C"/>
    <w:rsid w:val="0034729B"/>
    <w:rsid w:val="0035772D"/>
    <w:rsid w:val="00363202"/>
    <w:rsid w:val="00371544"/>
    <w:rsid w:val="00372251"/>
    <w:rsid w:val="00374DA9"/>
    <w:rsid w:val="00377553"/>
    <w:rsid w:val="0038097A"/>
    <w:rsid w:val="003916E5"/>
    <w:rsid w:val="003B0A46"/>
    <w:rsid w:val="003B3AF6"/>
    <w:rsid w:val="003C08B3"/>
    <w:rsid w:val="003C0A42"/>
    <w:rsid w:val="003C1231"/>
    <w:rsid w:val="003E32A9"/>
    <w:rsid w:val="003F029A"/>
    <w:rsid w:val="00406EB9"/>
    <w:rsid w:val="00407F8C"/>
    <w:rsid w:val="00417139"/>
    <w:rsid w:val="0042061E"/>
    <w:rsid w:val="0042583B"/>
    <w:rsid w:val="00430035"/>
    <w:rsid w:val="004305FF"/>
    <w:rsid w:val="00434016"/>
    <w:rsid w:val="00436CB1"/>
    <w:rsid w:val="00440137"/>
    <w:rsid w:val="00442A61"/>
    <w:rsid w:val="004430A2"/>
    <w:rsid w:val="0044689C"/>
    <w:rsid w:val="00461007"/>
    <w:rsid w:val="00471D7F"/>
    <w:rsid w:val="00474C33"/>
    <w:rsid w:val="004820A4"/>
    <w:rsid w:val="00482A83"/>
    <w:rsid w:val="004852ED"/>
    <w:rsid w:val="00485FAC"/>
    <w:rsid w:val="00491042"/>
    <w:rsid w:val="004A5463"/>
    <w:rsid w:val="004A6F74"/>
    <w:rsid w:val="004B03E5"/>
    <w:rsid w:val="004B32FA"/>
    <w:rsid w:val="004B4940"/>
    <w:rsid w:val="004D05B3"/>
    <w:rsid w:val="004D7F35"/>
    <w:rsid w:val="004E0EF2"/>
    <w:rsid w:val="004E4A9B"/>
    <w:rsid w:val="004F4854"/>
    <w:rsid w:val="004F77AD"/>
    <w:rsid w:val="00501A15"/>
    <w:rsid w:val="00501A75"/>
    <w:rsid w:val="00507FEA"/>
    <w:rsid w:val="00513AB2"/>
    <w:rsid w:val="00516FE9"/>
    <w:rsid w:val="005221A8"/>
    <w:rsid w:val="00523DD9"/>
    <w:rsid w:val="0053603A"/>
    <w:rsid w:val="0054087D"/>
    <w:rsid w:val="005470D9"/>
    <w:rsid w:val="00556EBE"/>
    <w:rsid w:val="0056197B"/>
    <w:rsid w:val="00570515"/>
    <w:rsid w:val="005722EC"/>
    <w:rsid w:val="00573128"/>
    <w:rsid w:val="00584C9C"/>
    <w:rsid w:val="00586215"/>
    <w:rsid w:val="0058730F"/>
    <w:rsid w:val="00596B79"/>
    <w:rsid w:val="00596D9A"/>
    <w:rsid w:val="005A019C"/>
    <w:rsid w:val="005A05C0"/>
    <w:rsid w:val="005A313B"/>
    <w:rsid w:val="005A44B8"/>
    <w:rsid w:val="005A517F"/>
    <w:rsid w:val="005A616A"/>
    <w:rsid w:val="005A7399"/>
    <w:rsid w:val="005C28AE"/>
    <w:rsid w:val="005C77D3"/>
    <w:rsid w:val="005D1A61"/>
    <w:rsid w:val="005D4010"/>
    <w:rsid w:val="005D5FEB"/>
    <w:rsid w:val="005E0875"/>
    <w:rsid w:val="005E3D16"/>
    <w:rsid w:val="005E7E88"/>
    <w:rsid w:val="005F78B8"/>
    <w:rsid w:val="0061362B"/>
    <w:rsid w:val="006231DC"/>
    <w:rsid w:val="00631B89"/>
    <w:rsid w:val="00640C7A"/>
    <w:rsid w:val="00641CE5"/>
    <w:rsid w:val="0064351C"/>
    <w:rsid w:val="00645D6D"/>
    <w:rsid w:val="006530B4"/>
    <w:rsid w:val="00661480"/>
    <w:rsid w:val="00667746"/>
    <w:rsid w:val="00673BEF"/>
    <w:rsid w:val="006826C4"/>
    <w:rsid w:val="006827E2"/>
    <w:rsid w:val="00682B09"/>
    <w:rsid w:val="006841A1"/>
    <w:rsid w:val="00694673"/>
    <w:rsid w:val="006A6ABA"/>
    <w:rsid w:val="006A6C71"/>
    <w:rsid w:val="006B1B05"/>
    <w:rsid w:val="006B4EFA"/>
    <w:rsid w:val="006C1D66"/>
    <w:rsid w:val="006C1EF2"/>
    <w:rsid w:val="006C3CCA"/>
    <w:rsid w:val="006D19A7"/>
    <w:rsid w:val="006D6FCE"/>
    <w:rsid w:val="006E3424"/>
    <w:rsid w:val="006E49E6"/>
    <w:rsid w:val="006F006F"/>
    <w:rsid w:val="006F4EBC"/>
    <w:rsid w:val="006F59E7"/>
    <w:rsid w:val="006F5F16"/>
    <w:rsid w:val="006F6B3B"/>
    <w:rsid w:val="006F6DB9"/>
    <w:rsid w:val="00705E65"/>
    <w:rsid w:val="00722866"/>
    <w:rsid w:val="00727BF6"/>
    <w:rsid w:val="00730468"/>
    <w:rsid w:val="00731FD0"/>
    <w:rsid w:val="007325AA"/>
    <w:rsid w:val="00735349"/>
    <w:rsid w:val="007363FB"/>
    <w:rsid w:val="00740A61"/>
    <w:rsid w:val="00741D60"/>
    <w:rsid w:val="00743D3D"/>
    <w:rsid w:val="0074499A"/>
    <w:rsid w:val="007462C5"/>
    <w:rsid w:val="0075695A"/>
    <w:rsid w:val="00760A26"/>
    <w:rsid w:val="00763E17"/>
    <w:rsid w:val="00765184"/>
    <w:rsid w:val="007667F5"/>
    <w:rsid w:val="007672FB"/>
    <w:rsid w:val="00770FF0"/>
    <w:rsid w:val="0077281C"/>
    <w:rsid w:val="00774A9B"/>
    <w:rsid w:val="007753DB"/>
    <w:rsid w:val="00784607"/>
    <w:rsid w:val="00786616"/>
    <w:rsid w:val="00787FB8"/>
    <w:rsid w:val="007976A3"/>
    <w:rsid w:val="007A1F94"/>
    <w:rsid w:val="007A42C0"/>
    <w:rsid w:val="007B0B9F"/>
    <w:rsid w:val="007B1AFF"/>
    <w:rsid w:val="007C2076"/>
    <w:rsid w:val="007C52D7"/>
    <w:rsid w:val="007C689F"/>
    <w:rsid w:val="007E344D"/>
    <w:rsid w:val="007E7FEC"/>
    <w:rsid w:val="0080676F"/>
    <w:rsid w:val="00807970"/>
    <w:rsid w:val="0081114F"/>
    <w:rsid w:val="00814D5B"/>
    <w:rsid w:val="00815DB8"/>
    <w:rsid w:val="00817EAE"/>
    <w:rsid w:val="00820863"/>
    <w:rsid w:val="00820F6F"/>
    <w:rsid w:val="00822829"/>
    <w:rsid w:val="00825824"/>
    <w:rsid w:val="008319E3"/>
    <w:rsid w:val="00832CF6"/>
    <w:rsid w:val="00835707"/>
    <w:rsid w:val="008445A5"/>
    <w:rsid w:val="008523B3"/>
    <w:rsid w:val="008624EE"/>
    <w:rsid w:val="00862D14"/>
    <w:rsid w:val="00864486"/>
    <w:rsid w:val="00866AAD"/>
    <w:rsid w:val="00870A42"/>
    <w:rsid w:val="00876BB1"/>
    <w:rsid w:val="00881C5D"/>
    <w:rsid w:val="0088491B"/>
    <w:rsid w:val="008857CA"/>
    <w:rsid w:val="00887BE3"/>
    <w:rsid w:val="008A6DA8"/>
    <w:rsid w:val="008B5462"/>
    <w:rsid w:val="008C07FC"/>
    <w:rsid w:val="008C31ED"/>
    <w:rsid w:val="008C6431"/>
    <w:rsid w:val="008D2623"/>
    <w:rsid w:val="008D6BBF"/>
    <w:rsid w:val="008E2AED"/>
    <w:rsid w:val="008E52BD"/>
    <w:rsid w:val="008F21F0"/>
    <w:rsid w:val="008F3A76"/>
    <w:rsid w:val="00921EBB"/>
    <w:rsid w:val="00922680"/>
    <w:rsid w:val="00930BD6"/>
    <w:rsid w:val="00932466"/>
    <w:rsid w:val="009449F6"/>
    <w:rsid w:val="00947901"/>
    <w:rsid w:val="00952B3F"/>
    <w:rsid w:val="00960445"/>
    <w:rsid w:val="00960678"/>
    <w:rsid w:val="009659D8"/>
    <w:rsid w:val="009664BE"/>
    <w:rsid w:val="00967C9E"/>
    <w:rsid w:val="00970165"/>
    <w:rsid w:val="00970E8B"/>
    <w:rsid w:val="00972347"/>
    <w:rsid w:val="00972E35"/>
    <w:rsid w:val="00976EDF"/>
    <w:rsid w:val="009770A2"/>
    <w:rsid w:val="00977EBD"/>
    <w:rsid w:val="00984CC8"/>
    <w:rsid w:val="00990244"/>
    <w:rsid w:val="00992774"/>
    <w:rsid w:val="00997F42"/>
    <w:rsid w:val="009A128A"/>
    <w:rsid w:val="009A19A4"/>
    <w:rsid w:val="009A2DF7"/>
    <w:rsid w:val="009B03D0"/>
    <w:rsid w:val="009B4ED6"/>
    <w:rsid w:val="009B73A6"/>
    <w:rsid w:val="009C30FC"/>
    <w:rsid w:val="009D6CBE"/>
    <w:rsid w:val="009D73DD"/>
    <w:rsid w:val="009E24C2"/>
    <w:rsid w:val="009E6DC8"/>
    <w:rsid w:val="009F3DCC"/>
    <w:rsid w:val="00A00607"/>
    <w:rsid w:val="00A061F4"/>
    <w:rsid w:val="00A10FA6"/>
    <w:rsid w:val="00A13465"/>
    <w:rsid w:val="00A222D7"/>
    <w:rsid w:val="00A2338F"/>
    <w:rsid w:val="00A26207"/>
    <w:rsid w:val="00A27F05"/>
    <w:rsid w:val="00A313D8"/>
    <w:rsid w:val="00A32B2E"/>
    <w:rsid w:val="00A437E7"/>
    <w:rsid w:val="00A440A2"/>
    <w:rsid w:val="00A462D4"/>
    <w:rsid w:val="00A56D73"/>
    <w:rsid w:val="00A5779F"/>
    <w:rsid w:val="00A66259"/>
    <w:rsid w:val="00A7008B"/>
    <w:rsid w:val="00A7475D"/>
    <w:rsid w:val="00A80FBB"/>
    <w:rsid w:val="00A8738C"/>
    <w:rsid w:val="00A944CA"/>
    <w:rsid w:val="00AA09FC"/>
    <w:rsid w:val="00AA444C"/>
    <w:rsid w:val="00AA4A06"/>
    <w:rsid w:val="00AA5B2A"/>
    <w:rsid w:val="00AB3B53"/>
    <w:rsid w:val="00AB5264"/>
    <w:rsid w:val="00AC1642"/>
    <w:rsid w:val="00AC6B87"/>
    <w:rsid w:val="00AC7389"/>
    <w:rsid w:val="00AE4EF9"/>
    <w:rsid w:val="00AE7719"/>
    <w:rsid w:val="00AF6D9E"/>
    <w:rsid w:val="00B00420"/>
    <w:rsid w:val="00B02F39"/>
    <w:rsid w:val="00B07CC3"/>
    <w:rsid w:val="00B10C57"/>
    <w:rsid w:val="00B22D46"/>
    <w:rsid w:val="00B259B0"/>
    <w:rsid w:val="00B47165"/>
    <w:rsid w:val="00B62562"/>
    <w:rsid w:val="00B73D13"/>
    <w:rsid w:val="00B74E74"/>
    <w:rsid w:val="00B851D0"/>
    <w:rsid w:val="00B87AEE"/>
    <w:rsid w:val="00B9123F"/>
    <w:rsid w:val="00B915BA"/>
    <w:rsid w:val="00B92101"/>
    <w:rsid w:val="00BA11EF"/>
    <w:rsid w:val="00BB02C9"/>
    <w:rsid w:val="00BB0938"/>
    <w:rsid w:val="00BB473B"/>
    <w:rsid w:val="00BB7EB6"/>
    <w:rsid w:val="00BC0208"/>
    <w:rsid w:val="00BC157B"/>
    <w:rsid w:val="00BC547C"/>
    <w:rsid w:val="00BC6C2F"/>
    <w:rsid w:val="00BD065E"/>
    <w:rsid w:val="00BD55DD"/>
    <w:rsid w:val="00BD567B"/>
    <w:rsid w:val="00BD7D79"/>
    <w:rsid w:val="00BE26F6"/>
    <w:rsid w:val="00BE6A6B"/>
    <w:rsid w:val="00BF3780"/>
    <w:rsid w:val="00C00748"/>
    <w:rsid w:val="00C0080D"/>
    <w:rsid w:val="00C026BF"/>
    <w:rsid w:val="00C04C00"/>
    <w:rsid w:val="00C126EA"/>
    <w:rsid w:val="00C222A2"/>
    <w:rsid w:val="00C22F57"/>
    <w:rsid w:val="00C332C2"/>
    <w:rsid w:val="00C3759C"/>
    <w:rsid w:val="00C37707"/>
    <w:rsid w:val="00C44765"/>
    <w:rsid w:val="00C4550A"/>
    <w:rsid w:val="00C5008E"/>
    <w:rsid w:val="00C52E0D"/>
    <w:rsid w:val="00C53F7D"/>
    <w:rsid w:val="00C6469A"/>
    <w:rsid w:val="00C64A75"/>
    <w:rsid w:val="00C676E9"/>
    <w:rsid w:val="00C76C80"/>
    <w:rsid w:val="00C806A2"/>
    <w:rsid w:val="00C80C9A"/>
    <w:rsid w:val="00C8391E"/>
    <w:rsid w:val="00C83936"/>
    <w:rsid w:val="00C845B5"/>
    <w:rsid w:val="00C84CD3"/>
    <w:rsid w:val="00C8722F"/>
    <w:rsid w:val="00C87334"/>
    <w:rsid w:val="00C95385"/>
    <w:rsid w:val="00CA09CB"/>
    <w:rsid w:val="00CA3D51"/>
    <w:rsid w:val="00CA4DF0"/>
    <w:rsid w:val="00CB00FE"/>
    <w:rsid w:val="00CB6960"/>
    <w:rsid w:val="00CC0EC9"/>
    <w:rsid w:val="00CD3710"/>
    <w:rsid w:val="00CE1AC2"/>
    <w:rsid w:val="00CE366A"/>
    <w:rsid w:val="00CE6BFF"/>
    <w:rsid w:val="00D0008D"/>
    <w:rsid w:val="00D04F6A"/>
    <w:rsid w:val="00D06508"/>
    <w:rsid w:val="00D07ED2"/>
    <w:rsid w:val="00D13C72"/>
    <w:rsid w:val="00D145FD"/>
    <w:rsid w:val="00D150B2"/>
    <w:rsid w:val="00D150BF"/>
    <w:rsid w:val="00D22877"/>
    <w:rsid w:val="00D230BF"/>
    <w:rsid w:val="00D24AD1"/>
    <w:rsid w:val="00D2709E"/>
    <w:rsid w:val="00D407FE"/>
    <w:rsid w:val="00D434DA"/>
    <w:rsid w:val="00D4566D"/>
    <w:rsid w:val="00D565B1"/>
    <w:rsid w:val="00D56C80"/>
    <w:rsid w:val="00D576D4"/>
    <w:rsid w:val="00D63D6E"/>
    <w:rsid w:val="00D7316E"/>
    <w:rsid w:val="00D73C07"/>
    <w:rsid w:val="00D751E4"/>
    <w:rsid w:val="00D81DEB"/>
    <w:rsid w:val="00D84032"/>
    <w:rsid w:val="00D854F1"/>
    <w:rsid w:val="00D91C6B"/>
    <w:rsid w:val="00DA422B"/>
    <w:rsid w:val="00DB1FBF"/>
    <w:rsid w:val="00DB2E5D"/>
    <w:rsid w:val="00DD1BB5"/>
    <w:rsid w:val="00DE0BF3"/>
    <w:rsid w:val="00DE272F"/>
    <w:rsid w:val="00DE38D2"/>
    <w:rsid w:val="00DE42C7"/>
    <w:rsid w:val="00DF5E47"/>
    <w:rsid w:val="00DF6542"/>
    <w:rsid w:val="00E149F1"/>
    <w:rsid w:val="00E227C9"/>
    <w:rsid w:val="00E234E3"/>
    <w:rsid w:val="00E26570"/>
    <w:rsid w:val="00E3121E"/>
    <w:rsid w:val="00E3230A"/>
    <w:rsid w:val="00E34FF1"/>
    <w:rsid w:val="00E364DE"/>
    <w:rsid w:val="00E42CE7"/>
    <w:rsid w:val="00E44638"/>
    <w:rsid w:val="00E47B12"/>
    <w:rsid w:val="00E50D3D"/>
    <w:rsid w:val="00E51459"/>
    <w:rsid w:val="00E51680"/>
    <w:rsid w:val="00E51FF7"/>
    <w:rsid w:val="00E73752"/>
    <w:rsid w:val="00E74D8A"/>
    <w:rsid w:val="00E7524A"/>
    <w:rsid w:val="00E82487"/>
    <w:rsid w:val="00E86672"/>
    <w:rsid w:val="00E91172"/>
    <w:rsid w:val="00E9200B"/>
    <w:rsid w:val="00EA01A1"/>
    <w:rsid w:val="00EA22BC"/>
    <w:rsid w:val="00EA4127"/>
    <w:rsid w:val="00EA7700"/>
    <w:rsid w:val="00EA7B96"/>
    <w:rsid w:val="00EB24EB"/>
    <w:rsid w:val="00EB31C9"/>
    <w:rsid w:val="00EB4359"/>
    <w:rsid w:val="00EB55BE"/>
    <w:rsid w:val="00EB572A"/>
    <w:rsid w:val="00EB5F1A"/>
    <w:rsid w:val="00EB6285"/>
    <w:rsid w:val="00EC396B"/>
    <w:rsid w:val="00ED23C6"/>
    <w:rsid w:val="00ED408F"/>
    <w:rsid w:val="00EE12B2"/>
    <w:rsid w:val="00EE79C6"/>
    <w:rsid w:val="00EF0319"/>
    <w:rsid w:val="00EF32A3"/>
    <w:rsid w:val="00F00C93"/>
    <w:rsid w:val="00F00E56"/>
    <w:rsid w:val="00F03D87"/>
    <w:rsid w:val="00F13D22"/>
    <w:rsid w:val="00F15729"/>
    <w:rsid w:val="00F15B75"/>
    <w:rsid w:val="00F1749A"/>
    <w:rsid w:val="00F42EA5"/>
    <w:rsid w:val="00F443AF"/>
    <w:rsid w:val="00F45281"/>
    <w:rsid w:val="00F54C45"/>
    <w:rsid w:val="00F54DFB"/>
    <w:rsid w:val="00F66844"/>
    <w:rsid w:val="00F71656"/>
    <w:rsid w:val="00F72B9E"/>
    <w:rsid w:val="00F741CA"/>
    <w:rsid w:val="00F754F2"/>
    <w:rsid w:val="00F928FC"/>
    <w:rsid w:val="00F93810"/>
    <w:rsid w:val="00FA564F"/>
    <w:rsid w:val="00FB1698"/>
    <w:rsid w:val="00FB5EEF"/>
    <w:rsid w:val="00FB7FAA"/>
    <w:rsid w:val="00FC1C35"/>
    <w:rsid w:val="00FC26B7"/>
    <w:rsid w:val="00FC2726"/>
    <w:rsid w:val="00FC2D0F"/>
    <w:rsid w:val="00FC6D1E"/>
    <w:rsid w:val="00FD0BA9"/>
    <w:rsid w:val="00FD3FA2"/>
    <w:rsid w:val="00FD6B57"/>
    <w:rsid w:val="00FF0C3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8B27DF2"/>
  <w15:docId w15:val="{90C994E3-6A43-4D76-9461-5E9BAE98B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EF2"/>
    <w:pPr>
      <w:spacing w:after="240" w:line="360" w:lineRule="auto"/>
      <w:jc w:val="both"/>
    </w:pPr>
    <w:rPr>
      <w:rFonts w:cstheme="minorHAnsi"/>
      <w:sz w:val="24"/>
      <w:szCs w:val="24"/>
    </w:rPr>
  </w:style>
  <w:style w:type="paragraph" w:styleId="Ttulo1">
    <w:name w:val="heading 1"/>
    <w:basedOn w:val="Normal"/>
    <w:next w:val="Normal"/>
    <w:link w:val="Ttulo1Char"/>
    <w:uiPriority w:val="9"/>
    <w:qFormat/>
    <w:rsid w:val="00E7524A"/>
    <w:pPr>
      <w:keepNext/>
      <w:keepLines/>
      <w:pageBreakBefore/>
      <w:spacing w:after="960"/>
      <w:jc w:val="right"/>
      <w:outlineLvl w:val="0"/>
    </w:pPr>
    <w:rPr>
      <w:rFonts w:asciiTheme="majorHAnsi" w:eastAsiaTheme="majorEastAsia" w:hAnsiTheme="majorHAnsi" w:cstheme="majorBidi"/>
      <w:b/>
      <w:bCs/>
      <w:sz w:val="40"/>
      <w:szCs w:val="40"/>
    </w:rPr>
  </w:style>
  <w:style w:type="paragraph" w:styleId="Ttulo2">
    <w:name w:val="heading 2"/>
    <w:basedOn w:val="Normal"/>
    <w:next w:val="Normal"/>
    <w:link w:val="Ttulo2Char"/>
    <w:uiPriority w:val="9"/>
    <w:unhideWhenUsed/>
    <w:qFormat/>
    <w:rsid w:val="00E7524A"/>
    <w:pPr>
      <w:keepNext/>
      <w:keepLines/>
      <w:spacing w:before="480" w:after="0"/>
      <w:outlineLvl w:val="1"/>
    </w:pPr>
    <w:rPr>
      <w:rFonts w:asciiTheme="majorHAnsi" w:eastAsiaTheme="majorEastAsia" w:hAnsiTheme="majorHAnsi" w:cstheme="majorBidi"/>
      <w:b/>
      <w:bCs/>
      <w:sz w:val="26"/>
      <w:szCs w:val="26"/>
    </w:rPr>
  </w:style>
  <w:style w:type="paragraph" w:styleId="Ttulo3">
    <w:name w:val="heading 3"/>
    <w:basedOn w:val="Normal"/>
    <w:next w:val="Normal"/>
    <w:link w:val="Ttulo3Char"/>
    <w:uiPriority w:val="9"/>
    <w:semiHidden/>
    <w:unhideWhenUsed/>
    <w:qFormat/>
    <w:rsid w:val="00B259B0"/>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41CE5"/>
    <w:pPr>
      <w:ind w:left="720"/>
      <w:contextualSpacing/>
    </w:pPr>
  </w:style>
  <w:style w:type="character" w:customStyle="1" w:styleId="Ttulo1Char">
    <w:name w:val="Título 1 Char"/>
    <w:basedOn w:val="Fontepargpadro"/>
    <w:link w:val="Ttulo1"/>
    <w:uiPriority w:val="9"/>
    <w:rsid w:val="00E7524A"/>
    <w:rPr>
      <w:rFonts w:asciiTheme="majorHAnsi" w:eastAsiaTheme="majorEastAsia" w:hAnsiTheme="majorHAnsi" w:cstheme="majorBidi"/>
      <w:b/>
      <w:bCs/>
      <w:sz w:val="40"/>
      <w:szCs w:val="40"/>
    </w:rPr>
  </w:style>
  <w:style w:type="character" w:styleId="Hyperlink">
    <w:name w:val="Hyperlink"/>
    <w:basedOn w:val="Fontepargpadro"/>
    <w:uiPriority w:val="99"/>
    <w:unhideWhenUsed/>
    <w:rsid w:val="002B38AE"/>
    <w:rPr>
      <w:color w:val="0563C1" w:themeColor="hyperlink"/>
      <w:u w:val="single"/>
    </w:rPr>
  </w:style>
  <w:style w:type="paragraph" w:styleId="NormalWeb">
    <w:name w:val="Normal (Web)"/>
    <w:basedOn w:val="Normal"/>
    <w:uiPriority w:val="99"/>
    <w:unhideWhenUsed/>
    <w:rsid w:val="00B259B0"/>
    <w:pPr>
      <w:spacing w:before="100" w:beforeAutospacing="1" w:after="100" w:afterAutospacing="1" w:line="240" w:lineRule="auto"/>
    </w:pPr>
    <w:rPr>
      <w:rFonts w:ascii="Times New Roman" w:eastAsia="Times New Roman" w:hAnsi="Times New Roman" w:cs="Times New Roman"/>
      <w:lang w:eastAsia="pt-PT"/>
    </w:rPr>
  </w:style>
  <w:style w:type="character" w:styleId="Forte">
    <w:name w:val="Strong"/>
    <w:basedOn w:val="Fontepargpadro"/>
    <w:uiPriority w:val="22"/>
    <w:qFormat/>
    <w:rsid w:val="00B259B0"/>
    <w:rPr>
      <w:b/>
      <w:bCs/>
    </w:rPr>
  </w:style>
  <w:style w:type="character" w:styleId="nfase">
    <w:name w:val="Emphasis"/>
    <w:basedOn w:val="Fontepargpadro"/>
    <w:uiPriority w:val="20"/>
    <w:qFormat/>
    <w:rsid w:val="00B259B0"/>
    <w:rPr>
      <w:i/>
      <w:iCs/>
    </w:rPr>
  </w:style>
  <w:style w:type="character" w:customStyle="1" w:styleId="Ttulo3Char">
    <w:name w:val="Título 3 Char"/>
    <w:basedOn w:val="Fontepargpadro"/>
    <w:link w:val="Ttulo3"/>
    <w:uiPriority w:val="9"/>
    <w:semiHidden/>
    <w:rsid w:val="00B259B0"/>
    <w:rPr>
      <w:rFonts w:asciiTheme="majorHAnsi" w:eastAsiaTheme="majorEastAsia" w:hAnsiTheme="majorHAnsi" w:cstheme="majorBidi"/>
      <w:color w:val="1F4D78" w:themeColor="accent1" w:themeShade="7F"/>
      <w:sz w:val="24"/>
      <w:szCs w:val="24"/>
    </w:rPr>
  </w:style>
  <w:style w:type="paragraph" w:customStyle="1" w:styleId="Default">
    <w:name w:val="Default"/>
    <w:rsid w:val="00E234E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2Char">
    <w:name w:val="Título 2 Char"/>
    <w:basedOn w:val="Fontepargpadro"/>
    <w:link w:val="Ttulo2"/>
    <w:uiPriority w:val="9"/>
    <w:rsid w:val="00E7524A"/>
    <w:rPr>
      <w:rFonts w:asciiTheme="majorHAnsi" w:eastAsiaTheme="majorEastAsia" w:hAnsiTheme="majorHAnsi" w:cstheme="majorBidi"/>
      <w:b/>
      <w:bCs/>
      <w:sz w:val="26"/>
      <w:szCs w:val="26"/>
    </w:rPr>
  </w:style>
  <w:style w:type="paragraph" w:customStyle="1" w:styleId="Normal1">
    <w:name w:val="Normal1"/>
    <w:basedOn w:val="Normal"/>
    <w:rsid w:val="00BD55DD"/>
    <w:pPr>
      <w:spacing w:before="100" w:beforeAutospacing="1" w:after="100" w:afterAutospacing="1" w:line="240" w:lineRule="auto"/>
    </w:pPr>
    <w:rPr>
      <w:rFonts w:ascii="Times New Roman" w:eastAsia="Times New Roman" w:hAnsi="Times New Roman" w:cs="Times New Roman"/>
      <w:lang w:eastAsia="pt-PT"/>
    </w:rPr>
  </w:style>
  <w:style w:type="character" w:customStyle="1" w:styleId="bold">
    <w:name w:val="bold"/>
    <w:basedOn w:val="Fontepargpadro"/>
    <w:rsid w:val="00BD55DD"/>
  </w:style>
  <w:style w:type="paragraph" w:customStyle="1" w:styleId="Fleche">
    <w:name w:val="Fleche"/>
    <w:basedOn w:val="Normal"/>
    <w:rsid w:val="00F15729"/>
    <w:pPr>
      <w:widowControl w:val="0"/>
      <w:numPr>
        <w:numId w:val="8"/>
      </w:numPr>
      <w:snapToGrid w:val="0"/>
      <w:spacing w:after="0" w:line="240" w:lineRule="auto"/>
    </w:pPr>
    <w:rPr>
      <w:rFonts w:ascii="Times New Roman" w:eastAsia="Times New Roman" w:hAnsi="Times New Roman" w:cs="Times New Roman"/>
      <w:szCs w:val="20"/>
      <w:lang w:eastAsia="en-GB"/>
    </w:rPr>
  </w:style>
  <w:style w:type="paragraph" w:styleId="Textodenotadefim">
    <w:name w:val="endnote text"/>
    <w:basedOn w:val="Normal"/>
    <w:link w:val="TextodenotadefimChar"/>
    <w:uiPriority w:val="99"/>
    <w:semiHidden/>
    <w:unhideWhenUsed/>
    <w:rsid w:val="007C52D7"/>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7C52D7"/>
    <w:rPr>
      <w:sz w:val="20"/>
      <w:szCs w:val="20"/>
    </w:rPr>
  </w:style>
  <w:style w:type="character" w:styleId="Refdenotadefim">
    <w:name w:val="endnote reference"/>
    <w:basedOn w:val="Fontepargpadro"/>
    <w:uiPriority w:val="99"/>
    <w:semiHidden/>
    <w:unhideWhenUsed/>
    <w:rsid w:val="007C52D7"/>
    <w:rPr>
      <w:vertAlign w:val="superscript"/>
    </w:rPr>
  </w:style>
  <w:style w:type="paragraph" w:styleId="Textodenotaderodap">
    <w:name w:val="footnote text"/>
    <w:basedOn w:val="Normal"/>
    <w:link w:val="TextodenotaderodapChar"/>
    <w:uiPriority w:val="99"/>
    <w:unhideWhenUsed/>
    <w:rsid w:val="007C52D7"/>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7C52D7"/>
    <w:rPr>
      <w:sz w:val="20"/>
      <w:szCs w:val="20"/>
    </w:rPr>
  </w:style>
  <w:style w:type="character" w:styleId="Refdenotaderodap">
    <w:name w:val="footnote reference"/>
    <w:basedOn w:val="Fontepargpadro"/>
    <w:uiPriority w:val="99"/>
    <w:semiHidden/>
    <w:unhideWhenUsed/>
    <w:rsid w:val="007C52D7"/>
    <w:rPr>
      <w:vertAlign w:val="superscript"/>
    </w:rPr>
  </w:style>
  <w:style w:type="paragraph" w:styleId="Cabealho">
    <w:name w:val="header"/>
    <w:basedOn w:val="Normal"/>
    <w:link w:val="CabealhoChar"/>
    <w:uiPriority w:val="99"/>
    <w:unhideWhenUsed/>
    <w:rsid w:val="004B32F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B32FA"/>
  </w:style>
  <w:style w:type="paragraph" w:styleId="Rodap">
    <w:name w:val="footer"/>
    <w:basedOn w:val="Normal"/>
    <w:link w:val="RodapChar"/>
    <w:uiPriority w:val="99"/>
    <w:unhideWhenUsed/>
    <w:rsid w:val="004B32FA"/>
    <w:pPr>
      <w:tabs>
        <w:tab w:val="center" w:pos="4252"/>
        <w:tab w:val="right" w:pos="8504"/>
      </w:tabs>
      <w:spacing w:after="0" w:line="240" w:lineRule="auto"/>
    </w:pPr>
  </w:style>
  <w:style w:type="character" w:customStyle="1" w:styleId="RodapChar">
    <w:name w:val="Rodapé Char"/>
    <w:basedOn w:val="Fontepargpadro"/>
    <w:link w:val="Rodap"/>
    <w:uiPriority w:val="99"/>
    <w:rsid w:val="004B32FA"/>
  </w:style>
  <w:style w:type="character" w:styleId="Refdecomentrio">
    <w:name w:val="annotation reference"/>
    <w:basedOn w:val="Fontepargpadro"/>
    <w:uiPriority w:val="99"/>
    <w:semiHidden/>
    <w:unhideWhenUsed/>
    <w:rsid w:val="008523B3"/>
    <w:rPr>
      <w:sz w:val="16"/>
      <w:szCs w:val="16"/>
    </w:rPr>
  </w:style>
  <w:style w:type="paragraph" w:styleId="Textodecomentrio">
    <w:name w:val="annotation text"/>
    <w:basedOn w:val="Normal"/>
    <w:link w:val="TextodecomentrioChar"/>
    <w:uiPriority w:val="99"/>
    <w:unhideWhenUsed/>
    <w:rsid w:val="008523B3"/>
    <w:pPr>
      <w:spacing w:line="240" w:lineRule="auto"/>
    </w:pPr>
    <w:rPr>
      <w:sz w:val="20"/>
      <w:szCs w:val="20"/>
    </w:rPr>
  </w:style>
  <w:style w:type="character" w:customStyle="1" w:styleId="TextodecomentrioChar">
    <w:name w:val="Texto de comentário Char"/>
    <w:basedOn w:val="Fontepargpadro"/>
    <w:link w:val="Textodecomentrio"/>
    <w:uiPriority w:val="99"/>
    <w:rsid w:val="008523B3"/>
    <w:rPr>
      <w:sz w:val="20"/>
      <w:szCs w:val="20"/>
    </w:rPr>
  </w:style>
  <w:style w:type="paragraph" w:styleId="Assuntodocomentrio">
    <w:name w:val="annotation subject"/>
    <w:basedOn w:val="Textodecomentrio"/>
    <w:next w:val="Textodecomentrio"/>
    <w:link w:val="AssuntodocomentrioChar"/>
    <w:uiPriority w:val="99"/>
    <w:semiHidden/>
    <w:unhideWhenUsed/>
    <w:rsid w:val="008523B3"/>
    <w:rPr>
      <w:b/>
      <w:bCs/>
    </w:rPr>
  </w:style>
  <w:style w:type="character" w:customStyle="1" w:styleId="AssuntodocomentrioChar">
    <w:name w:val="Assunto do comentário Char"/>
    <w:basedOn w:val="TextodecomentrioChar"/>
    <w:link w:val="Assuntodocomentrio"/>
    <w:uiPriority w:val="99"/>
    <w:semiHidden/>
    <w:rsid w:val="008523B3"/>
    <w:rPr>
      <w:b/>
      <w:bCs/>
      <w:sz w:val="20"/>
      <w:szCs w:val="20"/>
    </w:rPr>
  </w:style>
  <w:style w:type="paragraph" w:styleId="Reviso">
    <w:name w:val="Revision"/>
    <w:hidden/>
    <w:uiPriority w:val="99"/>
    <w:semiHidden/>
    <w:rsid w:val="008C07FC"/>
    <w:pPr>
      <w:spacing w:after="0" w:line="240" w:lineRule="auto"/>
    </w:pPr>
  </w:style>
  <w:style w:type="paragraph" w:styleId="Textodebalo">
    <w:name w:val="Balloon Text"/>
    <w:basedOn w:val="Normal"/>
    <w:link w:val="TextodebaloChar"/>
    <w:uiPriority w:val="99"/>
    <w:semiHidden/>
    <w:unhideWhenUsed/>
    <w:rsid w:val="0017788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77885"/>
    <w:rPr>
      <w:rFonts w:ascii="Segoe UI" w:hAnsi="Segoe UI" w:cs="Segoe UI"/>
      <w:sz w:val="18"/>
      <w:szCs w:val="18"/>
    </w:rPr>
  </w:style>
  <w:style w:type="table" w:styleId="Tabelacomgrade">
    <w:name w:val="Table Grid"/>
    <w:basedOn w:val="Tabelanormal"/>
    <w:uiPriority w:val="39"/>
    <w:rsid w:val="00207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1">
    <w:name w:val="Estilo1"/>
    <w:basedOn w:val="Ttulo1"/>
    <w:link w:val="Estilo1Carter"/>
    <w:qFormat/>
    <w:rsid w:val="00033510"/>
    <w:pPr>
      <w:numPr>
        <w:numId w:val="24"/>
      </w:numPr>
    </w:pPr>
    <w:rPr>
      <w:color w:val="000000" w:themeColor="text1"/>
    </w:rPr>
  </w:style>
  <w:style w:type="paragraph" w:customStyle="1" w:styleId="Estilo2">
    <w:name w:val="Estilo2"/>
    <w:basedOn w:val="Normal"/>
    <w:link w:val="Estilo2Carter"/>
    <w:qFormat/>
    <w:rsid w:val="00406EB9"/>
    <w:pPr>
      <w:numPr>
        <w:numId w:val="29"/>
      </w:numPr>
    </w:pPr>
    <w:rPr>
      <w:b/>
    </w:rPr>
  </w:style>
  <w:style w:type="character" w:customStyle="1" w:styleId="Estilo1Carter">
    <w:name w:val="Estilo1 Caráter"/>
    <w:basedOn w:val="Ttulo1Char"/>
    <w:link w:val="Estilo1"/>
    <w:rsid w:val="00033510"/>
    <w:rPr>
      <w:rFonts w:asciiTheme="majorHAnsi" w:eastAsiaTheme="majorEastAsia" w:hAnsiTheme="majorHAnsi" w:cstheme="majorBidi"/>
      <w:b/>
      <w:bCs/>
      <w:color w:val="000000" w:themeColor="text1"/>
      <w:sz w:val="32"/>
      <w:szCs w:val="32"/>
    </w:rPr>
  </w:style>
  <w:style w:type="paragraph" w:styleId="CabealhodoSumrio">
    <w:name w:val="TOC Heading"/>
    <w:basedOn w:val="Ttulo1"/>
    <w:next w:val="Normal"/>
    <w:uiPriority w:val="39"/>
    <w:unhideWhenUsed/>
    <w:qFormat/>
    <w:rsid w:val="00EA7B96"/>
    <w:pPr>
      <w:outlineLvl w:val="9"/>
    </w:pPr>
    <w:rPr>
      <w:b w:val="0"/>
      <w:bCs w:val="0"/>
      <w:sz w:val="36"/>
      <w:szCs w:val="36"/>
      <w:lang w:eastAsia="pt-PT"/>
    </w:rPr>
  </w:style>
  <w:style w:type="character" w:customStyle="1" w:styleId="Estilo2Carter">
    <w:name w:val="Estilo2 Caráter"/>
    <w:basedOn w:val="Fontepargpadro"/>
    <w:link w:val="Estilo2"/>
    <w:rsid w:val="00406EB9"/>
    <w:rPr>
      <w:rFonts w:cstheme="minorHAnsi"/>
      <w:b/>
      <w:sz w:val="24"/>
      <w:szCs w:val="24"/>
    </w:rPr>
  </w:style>
  <w:style w:type="paragraph" w:styleId="Sumrio1">
    <w:name w:val="toc 1"/>
    <w:basedOn w:val="Normal"/>
    <w:next w:val="Normal"/>
    <w:autoRedefine/>
    <w:uiPriority w:val="39"/>
    <w:unhideWhenUsed/>
    <w:rsid w:val="00C8391E"/>
    <w:pPr>
      <w:spacing w:after="100"/>
    </w:pPr>
  </w:style>
  <w:style w:type="paragraph" w:customStyle="1" w:styleId="numeroPagina">
    <w:name w:val="numeroPagina"/>
    <w:basedOn w:val="Rodap"/>
    <w:link w:val="numeroPaginaCarter"/>
    <w:qFormat/>
    <w:rsid w:val="006C1EF2"/>
  </w:style>
  <w:style w:type="paragraph" w:styleId="Sumrio2">
    <w:name w:val="toc 2"/>
    <w:basedOn w:val="Normal"/>
    <w:next w:val="Normal"/>
    <w:autoRedefine/>
    <w:uiPriority w:val="39"/>
    <w:unhideWhenUsed/>
    <w:rsid w:val="00E7524A"/>
    <w:pPr>
      <w:spacing w:after="100"/>
      <w:ind w:left="240"/>
    </w:pPr>
  </w:style>
  <w:style w:type="character" w:customStyle="1" w:styleId="numeroPaginaCarter">
    <w:name w:val="numeroPagina Caráter"/>
    <w:basedOn w:val="RodapChar"/>
    <w:link w:val="numeroPagina"/>
    <w:rsid w:val="006C1EF2"/>
    <w:rPr>
      <w:rFonts w:cstheme="minorHAnsi"/>
      <w:sz w:val="24"/>
      <w:szCs w:val="24"/>
    </w:rPr>
  </w:style>
  <w:style w:type="paragraph" w:styleId="SemEspaamento">
    <w:name w:val="No Spacing"/>
    <w:uiPriority w:val="1"/>
    <w:qFormat/>
    <w:rsid w:val="00485FAC"/>
    <w:pPr>
      <w:spacing w:after="0" w:line="240" w:lineRule="auto"/>
      <w:jc w:val="both"/>
    </w:pPr>
    <w:rPr>
      <w:rFonts w:cs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8494">
      <w:bodyDiv w:val="1"/>
      <w:marLeft w:val="0"/>
      <w:marRight w:val="0"/>
      <w:marTop w:val="0"/>
      <w:marBottom w:val="0"/>
      <w:divBdr>
        <w:top w:val="none" w:sz="0" w:space="0" w:color="auto"/>
        <w:left w:val="none" w:sz="0" w:space="0" w:color="auto"/>
        <w:bottom w:val="none" w:sz="0" w:space="0" w:color="auto"/>
        <w:right w:val="none" w:sz="0" w:space="0" w:color="auto"/>
      </w:divBdr>
    </w:div>
    <w:div w:id="65958008">
      <w:bodyDiv w:val="1"/>
      <w:marLeft w:val="0"/>
      <w:marRight w:val="0"/>
      <w:marTop w:val="0"/>
      <w:marBottom w:val="0"/>
      <w:divBdr>
        <w:top w:val="none" w:sz="0" w:space="0" w:color="auto"/>
        <w:left w:val="none" w:sz="0" w:space="0" w:color="auto"/>
        <w:bottom w:val="none" w:sz="0" w:space="0" w:color="auto"/>
        <w:right w:val="none" w:sz="0" w:space="0" w:color="auto"/>
      </w:divBdr>
    </w:div>
    <w:div w:id="184946923">
      <w:bodyDiv w:val="1"/>
      <w:marLeft w:val="0"/>
      <w:marRight w:val="0"/>
      <w:marTop w:val="0"/>
      <w:marBottom w:val="0"/>
      <w:divBdr>
        <w:top w:val="none" w:sz="0" w:space="0" w:color="auto"/>
        <w:left w:val="none" w:sz="0" w:space="0" w:color="auto"/>
        <w:bottom w:val="none" w:sz="0" w:space="0" w:color="auto"/>
        <w:right w:val="none" w:sz="0" w:space="0" w:color="auto"/>
      </w:divBdr>
      <w:divsChild>
        <w:div w:id="783770539">
          <w:marLeft w:val="0"/>
          <w:marRight w:val="0"/>
          <w:marTop w:val="100"/>
          <w:marBottom w:val="0"/>
          <w:divBdr>
            <w:top w:val="none" w:sz="0" w:space="0" w:color="auto"/>
            <w:left w:val="none" w:sz="0" w:space="0" w:color="auto"/>
            <w:bottom w:val="none" w:sz="0" w:space="0" w:color="auto"/>
            <w:right w:val="none" w:sz="0" w:space="0" w:color="auto"/>
          </w:divBdr>
          <w:divsChild>
            <w:div w:id="1760758075">
              <w:marLeft w:val="0"/>
              <w:marRight w:val="0"/>
              <w:marTop w:val="60"/>
              <w:marBottom w:val="0"/>
              <w:divBdr>
                <w:top w:val="none" w:sz="0" w:space="0" w:color="auto"/>
                <w:left w:val="none" w:sz="0" w:space="0" w:color="auto"/>
                <w:bottom w:val="none" w:sz="0" w:space="0" w:color="auto"/>
                <w:right w:val="none" w:sz="0" w:space="0" w:color="auto"/>
              </w:divBdr>
            </w:div>
          </w:divsChild>
        </w:div>
        <w:div w:id="1979139707">
          <w:marLeft w:val="0"/>
          <w:marRight w:val="0"/>
          <w:marTop w:val="0"/>
          <w:marBottom w:val="0"/>
          <w:divBdr>
            <w:top w:val="none" w:sz="0" w:space="0" w:color="auto"/>
            <w:left w:val="none" w:sz="0" w:space="0" w:color="auto"/>
            <w:bottom w:val="none" w:sz="0" w:space="0" w:color="auto"/>
            <w:right w:val="none" w:sz="0" w:space="0" w:color="auto"/>
          </w:divBdr>
          <w:divsChild>
            <w:div w:id="360320344">
              <w:marLeft w:val="0"/>
              <w:marRight w:val="0"/>
              <w:marTop w:val="0"/>
              <w:marBottom w:val="0"/>
              <w:divBdr>
                <w:top w:val="none" w:sz="0" w:space="0" w:color="auto"/>
                <w:left w:val="none" w:sz="0" w:space="0" w:color="auto"/>
                <w:bottom w:val="none" w:sz="0" w:space="0" w:color="auto"/>
                <w:right w:val="none" w:sz="0" w:space="0" w:color="auto"/>
              </w:divBdr>
              <w:divsChild>
                <w:div w:id="84594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133882">
      <w:bodyDiv w:val="1"/>
      <w:marLeft w:val="0"/>
      <w:marRight w:val="0"/>
      <w:marTop w:val="0"/>
      <w:marBottom w:val="0"/>
      <w:divBdr>
        <w:top w:val="none" w:sz="0" w:space="0" w:color="auto"/>
        <w:left w:val="none" w:sz="0" w:space="0" w:color="auto"/>
        <w:bottom w:val="none" w:sz="0" w:space="0" w:color="auto"/>
        <w:right w:val="none" w:sz="0" w:space="0" w:color="auto"/>
      </w:divBdr>
      <w:divsChild>
        <w:div w:id="158890413">
          <w:marLeft w:val="547"/>
          <w:marRight w:val="0"/>
          <w:marTop w:val="0"/>
          <w:marBottom w:val="0"/>
          <w:divBdr>
            <w:top w:val="none" w:sz="0" w:space="0" w:color="auto"/>
            <w:left w:val="none" w:sz="0" w:space="0" w:color="auto"/>
            <w:bottom w:val="none" w:sz="0" w:space="0" w:color="auto"/>
            <w:right w:val="none" w:sz="0" w:space="0" w:color="auto"/>
          </w:divBdr>
        </w:div>
      </w:divsChild>
    </w:div>
    <w:div w:id="391004992">
      <w:bodyDiv w:val="1"/>
      <w:marLeft w:val="0"/>
      <w:marRight w:val="0"/>
      <w:marTop w:val="0"/>
      <w:marBottom w:val="0"/>
      <w:divBdr>
        <w:top w:val="none" w:sz="0" w:space="0" w:color="auto"/>
        <w:left w:val="none" w:sz="0" w:space="0" w:color="auto"/>
        <w:bottom w:val="none" w:sz="0" w:space="0" w:color="auto"/>
        <w:right w:val="none" w:sz="0" w:space="0" w:color="auto"/>
      </w:divBdr>
      <w:divsChild>
        <w:div w:id="2014214515">
          <w:marLeft w:val="0"/>
          <w:marRight w:val="0"/>
          <w:marTop w:val="0"/>
          <w:marBottom w:val="0"/>
          <w:divBdr>
            <w:top w:val="none" w:sz="0" w:space="0" w:color="auto"/>
            <w:left w:val="none" w:sz="0" w:space="0" w:color="auto"/>
            <w:bottom w:val="none" w:sz="0" w:space="0" w:color="auto"/>
            <w:right w:val="none" w:sz="0" w:space="0" w:color="auto"/>
          </w:divBdr>
        </w:div>
      </w:divsChild>
    </w:div>
    <w:div w:id="480318803">
      <w:bodyDiv w:val="1"/>
      <w:marLeft w:val="0"/>
      <w:marRight w:val="0"/>
      <w:marTop w:val="0"/>
      <w:marBottom w:val="0"/>
      <w:divBdr>
        <w:top w:val="none" w:sz="0" w:space="0" w:color="auto"/>
        <w:left w:val="none" w:sz="0" w:space="0" w:color="auto"/>
        <w:bottom w:val="none" w:sz="0" w:space="0" w:color="auto"/>
        <w:right w:val="none" w:sz="0" w:space="0" w:color="auto"/>
      </w:divBdr>
    </w:div>
    <w:div w:id="522598798">
      <w:bodyDiv w:val="1"/>
      <w:marLeft w:val="0"/>
      <w:marRight w:val="0"/>
      <w:marTop w:val="0"/>
      <w:marBottom w:val="0"/>
      <w:divBdr>
        <w:top w:val="none" w:sz="0" w:space="0" w:color="auto"/>
        <w:left w:val="none" w:sz="0" w:space="0" w:color="auto"/>
        <w:bottom w:val="none" w:sz="0" w:space="0" w:color="auto"/>
        <w:right w:val="none" w:sz="0" w:space="0" w:color="auto"/>
      </w:divBdr>
    </w:div>
    <w:div w:id="536159631">
      <w:bodyDiv w:val="1"/>
      <w:marLeft w:val="0"/>
      <w:marRight w:val="0"/>
      <w:marTop w:val="0"/>
      <w:marBottom w:val="0"/>
      <w:divBdr>
        <w:top w:val="none" w:sz="0" w:space="0" w:color="auto"/>
        <w:left w:val="none" w:sz="0" w:space="0" w:color="auto"/>
        <w:bottom w:val="none" w:sz="0" w:space="0" w:color="auto"/>
        <w:right w:val="none" w:sz="0" w:space="0" w:color="auto"/>
      </w:divBdr>
    </w:div>
    <w:div w:id="704913078">
      <w:bodyDiv w:val="1"/>
      <w:marLeft w:val="0"/>
      <w:marRight w:val="0"/>
      <w:marTop w:val="0"/>
      <w:marBottom w:val="0"/>
      <w:divBdr>
        <w:top w:val="none" w:sz="0" w:space="0" w:color="auto"/>
        <w:left w:val="none" w:sz="0" w:space="0" w:color="auto"/>
        <w:bottom w:val="none" w:sz="0" w:space="0" w:color="auto"/>
        <w:right w:val="none" w:sz="0" w:space="0" w:color="auto"/>
      </w:divBdr>
    </w:div>
    <w:div w:id="757211876">
      <w:bodyDiv w:val="1"/>
      <w:marLeft w:val="0"/>
      <w:marRight w:val="0"/>
      <w:marTop w:val="0"/>
      <w:marBottom w:val="0"/>
      <w:divBdr>
        <w:top w:val="none" w:sz="0" w:space="0" w:color="auto"/>
        <w:left w:val="none" w:sz="0" w:space="0" w:color="auto"/>
        <w:bottom w:val="none" w:sz="0" w:space="0" w:color="auto"/>
        <w:right w:val="none" w:sz="0" w:space="0" w:color="auto"/>
      </w:divBdr>
    </w:div>
    <w:div w:id="810370776">
      <w:bodyDiv w:val="1"/>
      <w:marLeft w:val="0"/>
      <w:marRight w:val="0"/>
      <w:marTop w:val="0"/>
      <w:marBottom w:val="0"/>
      <w:divBdr>
        <w:top w:val="none" w:sz="0" w:space="0" w:color="auto"/>
        <w:left w:val="none" w:sz="0" w:space="0" w:color="auto"/>
        <w:bottom w:val="none" w:sz="0" w:space="0" w:color="auto"/>
        <w:right w:val="none" w:sz="0" w:space="0" w:color="auto"/>
      </w:divBdr>
    </w:div>
    <w:div w:id="1059668326">
      <w:bodyDiv w:val="1"/>
      <w:marLeft w:val="0"/>
      <w:marRight w:val="0"/>
      <w:marTop w:val="0"/>
      <w:marBottom w:val="0"/>
      <w:divBdr>
        <w:top w:val="none" w:sz="0" w:space="0" w:color="auto"/>
        <w:left w:val="none" w:sz="0" w:space="0" w:color="auto"/>
        <w:bottom w:val="none" w:sz="0" w:space="0" w:color="auto"/>
        <w:right w:val="none" w:sz="0" w:space="0" w:color="auto"/>
      </w:divBdr>
    </w:div>
    <w:div w:id="1086224689">
      <w:bodyDiv w:val="1"/>
      <w:marLeft w:val="0"/>
      <w:marRight w:val="0"/>
      <w:marTop w:val="0"/>
      <w:marBottom w:val="0"/>
      <w:divBdr>
        <w:top w:val="none" w:sz="0" w:space="0" w:color="auto"/>
        <w:left w:val="none" w:sz="0" w:space="0" w:color="auto"/>
        <w:bottom w:val="none" w:sz="0" w:space="0" w:color="auto"/>
        <w:right w:val="none" w:sz="0" w:space="0" w:color="auto"/>
      </w:divBdr>
    </w:div>
    <w:div w:id="1273169363">
      <w:bodyDiv w:val="1"/>
      <w:marLeft w:val="0"/>
      <w:marRight w:val="0"/>
      <w:marTop w:val="0"/>
      <w:marBottom w:val="0"/>
      <w:divBdr>
        <w:top w:val="none" w:sz="0" w:space="0" w:color="auto"/>
        <w:left w:val="none" w:sz="0" w:space="0" w:color="auto"/>
        <w:bottom w:val="none" w:sz="0" w:space="0" w:color="auto"/>
        <w:right w:val="none" w:sz="0" w:space="0" w:color="auto"/>
      </w:divBdr>
    </w:div>
    <w:div w:id="1290623760">
      <w:bodyDiv w:val="1"/>
      <w:marLeft w:val="0"/>
      <w:marRight w:val="0"/>
      <w:marTop w:val="0"/>
      <w:marBottom w:val="0"/>
      <w:divBdr>
        <w:top w:val="none" w:sz="0" w:space="0" w:color="auto"/>
        <w:left w:val="none" w:sz="0" w:space="0" w:color="auto"/>
        <w:bottom w:val="none" w:sz="0" w:space="0" w:color="auto"/>
        <w:right w:val="none" w:sz="0" w:space="0" w:color="auto"/>
      </w:divBdr>
    </w:div>
    <w:div w:id="1629043830">
      <w:bodyDiv w:val="1"/>
      <w:marLeft w:val="0"/>
      <w:marRight w:val="0"/>
      <w:marTop w:val="0"/>
      <w:marBottom w:val="0"/>
      <w:divBdr>
        <w:top w:val="none" w:sz="0" w:space="0" w:color="auto"/>
        <w:left w:val="none" w:sz="0" w:space="0" w:color="auto"/>
        <w:bottom w:val="none" w:sz="0" w:space="0" w:color="auto"/>
        <w:right w:val="none" w:sz="0" w:space="0" w:color="auto"/>
      </w:divBdr>
    </w:div>
    <w:div w:id="1783644384">
      <w:bodyDiv w:val="1"/>
      <w:marLeft w:val="0"/>
      <w:marRight w:val="0"/>
      <w:marTop w:val="0"/>
      <w:marBottom w:val="0"/>
      <w:divBdr>
        <w:top w:val="none" w:sz="0" w:space="0" w:color="auto"/>
        <w:left w:val="none" w:sz="0" w:space="0" w:color="auto"/>
        <w:bottom w:val="none" w:sz="0" w:space="0" w:color="auto"/>
        <w:right w:val="none" w:sz="0" w:space="0" w:color="auto"/>
      </w:divBdr>
    </w:div>
    <w:div w:id="21172094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88D99-1022-4C5A-90CA-548BB401A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6875</TotalTime>
  <Pages>32</Pages>
  <Words>6078</Words>
  <Characters>34646</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IPT</dc:creator>
  <cp:keywords/>
  <dc:description/>
  <cp:lastModifiedBy>Fátima Paiva</cp:lastModifiedBy>
  <cp:revision>45</cp:revision>
  <cp:lastPrinted>2022-01-23T23:30:00Z</cp:lastPrinted>
  <dcterms:created xsi:type="dcterms:W3CDTF">2022-02-16T20:09:00Z</dcterms:created>
  <dcterms:modified xsi:type="dcterms:W3CDTF">2022-03-07T17:04:00Z</dcterms:modified>
</cp:coreProperties>
</file>